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600" w:lineRule="exact"/>
        <w:ind w:left="0" w:right="0"/>
        <w:jc w:val="center"/>
        <w:textAlignment w:val="auto"/>
        <w:outlineLvl w:val="9"/>
        <w:rPr>
          <w:rFonts w:hint="eastAsia" w:ascii="方正小标宋简体" w:hAnsi="方正小标宋简体" w:eastAsia="方正小标宋简体" w:cs="方正小标宋简体"/>
          <w:b w:val="0"/>
          <w:bCs/>
          <w:sz w:val="44"/>
          <w:szCs w:val="44"/>
        </w:rPr>
      </w:pPr>
      <w:r>
        <w:rPr>
          <w:rStyle w:val="5"/>
          <w:rFonts w:hint="eastAsia" w:ascii="方正小标宋简体" w:hAnsi="方正小标宋简体" w:eastAsia="方正小标宋简体" w:cs="方正小标宋简体"/>
          <w:b w:val="0"/>
          <w:bCs/>
          <w:snapToGrid w:val="0"/>
          <w:color w:val="000000"/>
          <w:kern w:val="0"/>
          <w:sz w:val="44"/>
          <w:szCs w:val="44"/>
          <w:lang w:val="en-US" w:eastAsia="zh-CN" w:bidi="ar"/>
        </w:rPr>
        <w:t>关于做好</w:t>
      </w:r>
      <w:r>
        <w:rPr>
          <w:rStyle w:val="5"/>
          <w:rFonts w:hint="eastAsia" w:ascii="方正小标宋简体" w:hAnsi="方正小标宋简体" w:eastAsia="方正小标宋简体" w:cs="方正小标宋简体"/>
          <w:b w:val="0"/>
          <w:bCs/>
          <w:snapToGrid w:val="0"/>
          <w:color w:val="000000"/>
          <w:kern w:val="0"/>
          <w:sz w:val="44"/>
          <w:szCs w:val="44"/>
          <w:lang w:val="en-US" w:eastAsia="zh-CN" w:bidi="ar"/>
        </w:rPr>
        <w:t>2019年度全国监理工程师资格考试考务工作的通知</w:t>
      </w:r>
    </w:p>
    <w:p>
      <w:pPr>
        <w:keepNext w:val="0"/>
        <w:keepLines w:val="0"/>
        <w:widowControl/>
        <w:suppressLineNumbers w:val="0"/>
        <w:spacing w:before="0" w:beforeAutospacing="0" w:after="0" w:afterAutospacing="0"/>
        <w:ind w:left="0" w:right="0"/>
        <w:jc w:val="left"/>
        <w:rPr>
          <w:sz w:val="32"/>
          <w:szCs w:val="32"/>
        </w:rPr>
      </w:pPr>
      <w:r>
        <w:rPr>
          <w:rFonts w:ascii="仿宋" w:hAnsi="仿宋" w:eastAsia="仿宋" w:cs="宋体"/>
          <w:snapToGrid w:val="0"/>
          <w:kern w:val="0"/>
          <w:sz w:val="32"/>
          <w:szCs w:val="32"/>
          <w:lang w:val="en-US" w:eastAsia="zh-CN" w:bidi="ar"/>
        </w:rPr>
        <w:t xml:space="preserve">各省辖市、省直管县（市）人力资源和社会保障局、住房和城乡建设局（委），省直及中央驻豫有关单位： </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宋体"/>
          <w:snapToGrid w:val="0"/>
          <w:kern w:val="0"/>
          <w:sz w:val="32"/>
          <w:szCs w:val="32"/>
          <w:lang w:val="en-US" w:eastAsia="zh-CN" w:bidi="ar"/>
        </w:rPr>
        <w:t>根据《人力资源社会保障部办公厅关于2019年度专业技术人员资格考试计划及有关问题的通知》（人社厅发〔2018〕142号）和人力资源社会保障部人事考试中心《关于做好2019年度全国监理工程师资格考试考务工作的通知》（人考中心函〔2019〕2号）精神，为做好我省2019年度全国监理工程师资格考试考务工作，现将有关事项通知如下：</w:t>
      </w:r>
    </w:p>
    <w:p>
      <w:pPr>
        <w:keepNext w:val="0"/>
        <w:keepLines w:val="0"/>
        <w:widowControl/>
        <w:suppressLineNumbers w:val="0"/>
        <w:spacing w:before="0" w:beforeAutospacing="0" w:after="0" w:afterAutospacing="0"/>
        <w:ind w:left="0" w:right="0" w:firstLine="316" w:firstLineChars="100"/>
        <w:jc w:val="left"/>
        <w:rPr>
          <w:sz w:val="32"/>
          <w:szCs w:val="32"/>
        </w:rPr>
      </w:pPr>
      <w:r>
        <w:rPr>
          <w:rFonts w:hint="eastAsia" w:ascii="黑体" w:hAnsi="宋体" w:eastAsia="黑体" w:cs="宋体"/>
          <w:snapToGrid w:val="0"/>
          <w:kern w:val="0"/>
          <w:sz w:val="32"/>
          <w:szCs w:val="32"/>
          <w:lang w:val="en-US" w:eastAsia="zh-CN" w:bidi="ar"/>
        </w:rPr>
        <w:t>一、考试时间、科目及考点设置</w:t>
      </w:r>
    </w:p>
    <w:p>
      <w:pPr>
        <w:keepNext w:val="0"/>
        <w:keepLines w:val="0"/>
        <w:widowControl/>
        <w:suppressLineNumbers w:val="0"/>
        <w:spacing w:before="0" w:beforeAutospacing="0" w:after="0" w:afterAutospacing="0"/>
        <w:ind w:left="0" w:right="0" w:firstLine="838" w:firstLineChars="265"/>
        <w:jc w:val="left"/>
        <w:rPr>
          <w:sz w:val="32"/>
          <w:szCs w:val="32"/>
        </w:rPr>
      </w:pPr>
      <w:r>
        <w:rPr>
          <w:rFonts w:hint="eastAsia" w:ascii="仿宋" w:hAnsi="仿宋" w:eastAsia="仿宋" w:cs="宋体"/>
          <w:snapToGrid w:val="0"/>
          <w:kern w:val="0"/>
          <w:sz w:val="32"/>
          <w:szCs w:val="32"/>
          <w:lang w:val="en-US" w:eastAsia="zh-CN" w:bidi="ar"/>
        </w:rPr>
        <w:t xml:space="preserve">5月18日 </w:t>
      </w:r>
    </w:p>
    <w:p>
      <w:pPr>
        <w:keepNext w:val="0"/>
        <w:keepLines w:val="0"/>
        <w:widowControl/>
        <w:suppressLineNumbers w:val="0"/>
        <w:spacing w:before="0" w:beforeAutospacing="0" w:after="0" w:afterAutospacing="0"/>
        <w:ind w:left="0" w:right="0" w:firstLine="838" w:firstLineChars="265"/>
        <w:jc w:val="left"/>
        <w:rPr>
          <w:sz w:val="32"/>
          <w:szCs w:val="32"/>
        </w:rPr>
      </w:pPr>
      <w:r>
        <w:rPr>
          <w:rFonts w:hint="eastAsia" w:ascii="仿宋" w:hAnsi="仿宋" w:eastAsia="仿宋" w:cs="宋体"/>
          <w:snapToGrid w:val="0"/>
          <w:kern w:val="0"/>
          <w:sz w:val="32"/>
          <w:szCs w:val="32"/>
          <w:lang w:val="en-US" w:eastAsia="zh-CN" w:bidi="ar"/>
        </w:rPr>
        <w:t>上午09:00--11:00 建设工程合同管理</w:t>
      </w:r>
    </w:p>
    <w:p>
      <w:pPr>
        <w:keepNext w:val="0"/>
        <w:keepLines w:val="0"/>
        <w:widowControl/>
        <w:suppressLineNumbers w:val="0"/>
        <w:spacing w:before="0" w:beforeAutospacing="0" w:after="0" w:afterAutospacing="0"/>
        <w:ind w:left="0" w:right="0" w:firstLine="838" w:firstLineChars="265"/>
        <w:jc w:val="left"/>
        <w:rPr>
          <w:sz w:val="32"/>
          <w:szCs w:val="32"/>
        </w:rPr>
      </w:pPr>
      <w:r>
        <w:rPr>
          <w:rFonts w:hint="eastAsia" w:ascii="仿宋" w:hAnsi="仿宋" w:eastAsia="仿宋" w:cs="宋体"/>
          <w:snapToGrid w:val="0"/>
          <w:kern w:val="0"/>
          <w:sz w:val="32"/>
          <w:szCs w:val="32"/>
          <w:lang w:val="en-US" w:eastAsia="zh-CN" w:bidi="ar"/>
        </w:rPr>
        <w:t>下午14:00--17:00 建设工程质量、投资、进度控制</w:t>
      </w:r>
    </w:p>
    <w:p>
      <w:pPr>
        <w:keepNext w:val="0"/>
        <w:keepLines w:val="0"/>
        <w:widowControl/>
        <w:suppressLineNumbers w:val="0"/>
        <w:spacing w:before="0" w:beforeAutospacing="0" w:after="0" w:afterAutospacing="0"/>
        <w:ind w:left="0" w:right="0" w:firstLine="838" w:firstLineChars="265"/>
        <w:jc w:val="left"/>
        <w:rPr>
          <w:sz w:val="32"/>
          <w:szCs w:val="32"/>
        </w:rPr>
      </w:pPr>
      <w:r>
        <w:rPr>
          <w:rFonts w:hint="eastAsia" w:ascii="仿宋" w:hAnsi="仿宋" w:eastAsia="仿宋" w:cs="宋体"/>
          <w:snapToGrid w:val="0"/>
          <w:kern w:val="0"/>
          <w:sz w:val="32"/>
          <w:szCs w:val="32"/>
          <w:lang w:val="en-US" w:eastAsia="zh-CN" w:bidi="ar"/>
        </w:rPr>
        <w:t xml:space="preserve">5月19日 </w:t>
      </w:r>
    </w:p>
    <w:p>
      <w:pPr>
        <w:keepNext w:val="0"/>
        <w:keepLines w:val="0"/>
        <w:widowControl/>
        <w:suppressLineNumbers w:val="0"/>
        <w:spacing w:before="0" w:beforeAutospacing="0" w:after="0" w:afterAutospacing="0"/>
        <w:ind w:left="0" w:right="0" w:firstLine="838" w:firstLineChars="265"/>
        <w:jc w:val="left"/>
        <w:rPr>
          <w:sz w:val="32"/>
          <w:szCs w:val="32"/>
        </w:rPr>
      </w:pPr>
      <w:r>
        <w:rPr>
          <w:rFonts w:hint="eastAsia" w:ascii="仿宋" w:hAnsi="仿宋" w:eastAsia="仿宋" w:cs="宋体"/>
          <w:snapToGrid w:val="0"/>
          <w:kern w:val="0"/>
          <w:sz w:val="32"/>
          <w:szCs w:val="32"/>
          <w:lang w:val="en-US" w:eastAsia="zh-CN" w:bidi="ar"/>
        </w:rPr>
        <w:t>上午 09:00--11:00 建设工程监理基本理论与相关法规</w:t>
      </w:r>
    </w:p>
    <w:p>
      <w:pPr>
        <w:keepNext w:val="0"/>
        <w:keepLines w:val="0"/>
        <w:widowControl/>
        <w:suppressLineNumbers w:val="0"/>
        <w:spacing w:before="0" w:beforeAutospacing="0" w:after="0" w:afterAutospacing="0"/>
        <w:ind w:left="0" w:right="0" w:firstLine="838" w:firstLineChars="265"/>
        <w:jc w:val="left"/>
        <w:rPr>
          <w:sz w:val="32"/>
          <w:szCs w:val="32"/>
        </w:rPr>
      </w:pPr>
      <w:r>
        <w:rPr>
          <w:rFonts w:hint="eastAsia" w:ascii="仿宋" w:hAnsi="仿宋" w:eastAsia="仿宋" w:cs="宋体"/>
          <w:snapToGrid w:val="0"/>
          <w:kern w:val="0"/>
          <w:sz w:val="32"/>
          <w:szCs w:val="32"/>
          <w:lang w:val="en-US" w:eastAsia="zh-CN" w:bidi="ar"/>
        </w:rPr>
        <w:t>下午 14:00--18:00 建设工程监理案例分析</w:t>
      </w:r>
    </w:p>
    <w:p>
      <w:pPr>
        <w:keepNext w:val="0"/>
        <w:keepLines w:val="0"/>
        <w:widowControl/>
        <w:suppressLineNumbers w:val="0"/>
        <w:spacing w:before="0" w:beforeAutospacing="0" w:after="0" w:afterAutospacing="0"/>
        <w:ind w:left="0" w:right="0" w:firstLine="838" w:firstLineChars="265"/>
        <w:jc w:val="left"/>
        <w:rPr>
          <w:sz w:val="32"/>
          <w:szCs w:val="32"/>
        </w:rPr>
      </w:pPr>
      <w:r>
        <w:rPr>
          <w:rFonts w:hint="eastAsia" w:ascii="仿宋" w:hAnsi="仿宋" w:eastAsia="仿宋" w:cs="宋体"/>
          <w:snapToGrid w:val="0"/>
          <w:kern w:val="0"/>
          <w:sz w:val="32"/>
          <w:szCs w:val="32"/>
          <w:lang w:val="en-US" w:eastAsia="zh-CN" w:bidi="ar"/>
        </w:rPr>
        <w:t>本次考试考点统一设在郑州市区。</w:t>
      </w:r>
    </w:p>
    <w:p>
      <w:pPr>
        <w:keepNext w:val="0"/>
        <w:keepLines w:val="0"/>
        <w:widowControl/>
        <w:suppressLineNumbers w:val="0"/>
        <w:spacing w:before="0" w:beforeAutospacing="0" w:after="0" w:afterAutospacing="0"/>
        <w:ind w:left="0" w:right="0" w:firstLine="316" w:firstLineChars="100"/>
        <w:jc w:val="left"/>
        <w:rPr>
          <w:sz w:val="32"/>
          <w:szCs w:val="32"/>
        </w:rPr>
      </w:pPr>
      <w:r>
        <w:rPr>
          <w:rFonts w:hint="eastAsia" w:ascii="黑体" w:hAnsi="宋体" w:eastAsia="黑体" w:cs="宋体"/>
          <w:snapToGrid w:val="0"/>
          <w:kern w:val="0"/>
          <w:sz w:val="32"/>
          <w:szCs w:val="32"/>
          <w:lang w:val="en-US" w:eastAsia="zh-CN" w:bidi="ar"/>
        </w:rPr>
        <w:t>二、报名条件</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宋体"/>
          <w:snapToGrid w:val="0"/>
          <w:kern w:val="0"/>
          <w:sz w:val="32"/>
          <w:szCs w:val="32"/>
          <w:lang w:val="en-US" w:eastAsia="zh-CN" w:bidi="ar"/>
        </w:rPr>
        <w:t>根据原人事部办公厅、建设部办公厅联合下发的《关于做好1998年度全国监理工程师执业资格考试工作的通知》（人办发【1997】105号）规定：</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黑体" w:hAnsi="宋体" w:eastAsia="黑体" w:cs="宋体"/>
          <w:snapToGrid w:val="0"/>
          <w:kern w:val="0"/>
          <w:sz w:val="32"/>
          <w:szCs w:val="32"/>
          <w:lang w:val="en-US" w:eastAsia="zh-CN" w:bidi="ar"/>
        </w:rPr>
        <w:t>（一）参加4个科目（考全科）考试条件</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宋体"/>
          <w:snapToGrid w:val="0"/>
          <w:kern w:val="0"/>
          <w:sz w:val="32"/>
          <w:szCs w:val="32"/>
          <w:lang w:val="en-US" w:eastAsia="zh-CN" w:bidi="ar"/>
        </w:rPr>
        <w:t>凡中华人民共和国公民，身体健康，遵纪守法，具备下列条件之一者，可申请参加监理工程师资格考试。</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宋体"/>
          <w:snapToGrid w:val="0"/>
          <w:kern w:val="0"/>
          <w:sz w:val="32"/>
          <w:szCs w:val="32"/>
          <w:lang w:val="en-US" w:eastAsia="zh-CN" w:bidi="ar"/>
        </w:rPr>
        <w:t>1.工程技术或工程经济专业大专（含大专）以上学历，按照国家有关规定，取得工程技术或工程经济专业中级职务，并任职满3年。</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宋体"/>
          <w:snapToGrid w:val="0"/>
          <w:kern w:val="0"/>
          <w:sz w:val="32"/>
          <w:szCs w:val="32"/>
          <w:lang w:val="en-US" w:eastAsia="zh-CN" w:bidi="ar"/>
        </w:rPr>
        <w:t>2.按照国家有关规定，取得工程技术或工程经济专业高级职务。</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宋体"/>
          <w:snapToGrid w:val="0"/>
          <w:kern w:val="0"/>
          <w:sz w:val="32"/>
          <w:szCs w:val="32"/>
          <w:lang w:val="en-US" w:eastAsia="zh-CN" w:bidi="ar"/>
        </w:rPr>
        <w:t>3.1970年（含1970年）以前工程技术或工程经济专业中专毕业，并按照国家有关规定、取得工程技术或工程经济专业中级职务，并任职满三年。</w:t>
      </w:r>
    </w:p>
    <w:p>
      <w:pPr>
        <w:keepNext w:val="0"/>
        <w:keepLines w:val="0"/>
        <w:widowControl/>
        <w:suppressLineNumbers w:val="0"/>
        <w:spacing w:before="0" w:beforeAutospacing="0" w:after="0" w:afterAutospacing="0"/>
        <w:ind w:left="0" w:right="0" w:firstLine="570"/>
        <w:jc w:val="left"/>
        <w:rPr>
          <w:sz w:val="32"/>
          <w:szCs w:val="32"/>
        </w:rPr>
      </w:pPr>
      <w:r>
        <w:rPr>
          <w:rFonts w:hint="eastAsia" w:ascii="黑体" w:hAnsi="宋体" w:eastAsia="黑体" w:cs="宋体"/>
          <w:snapToGrid w:val="0"/>
          <w:kern w:val="0"/>
          <w:sz w:val="32"/>
          <w:szCs w:val="32"/>
          <w:lang w:val="en-US" w:eastAsia="zh-CN" w:bidi="ar"/>
        </w:rPr>
        <w:t>（二）参加2个科目（免2科）考试条件</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宋体"/>
          <w:snapToGrid w:val="0"/>
          <w:kern w:val="0"/>
          <w:sz w:val="32"/>
          <w:szCs w:val="32"/>
          <w:lang w:val="en-US" w:eastAsia="zh-CN" w:bidi="ar"/>
        </w:rPr>
        <w:t>从事工程建设监理工作并同时具备下列四项条件的报考人员，可免试《建设工程合同管理》和《建设工程质量、投资、进度控制》两科。</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宋体"/>
          <w:snapToGrid w:val="0"/>
          <w:kern w:val="0"/>
          <w:sz w:val="32"/>
          <w:szCs w:val="32"/>
          <w:lang w:val="en-US" w:eastAsia="zh-CN" w:bidi="ar"/>
        </w:rPr>
        <w:t>1.1970年（含1970年）以前工程技术或工程经济专业中专（含中专）以上毕业；</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宋体"/>
          <w:snapToGrid w:val="0"/>
          <w:kern w:val="0"/>
          <w:sz w:val="32"/>
          <w:szCs w:val="32"/>
          <w:lang w:val="en-US" w:eastAsia="zh-CN" w:bidi="ar"/>
        </w:rPr>
        <w:t>2.按照国家有关规定，取得工程技术或工程经济专业高级职务；</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宋体"/>
          <w:snapToGrid w:val="0"/>
          <w:kern w:val="0"/>
          <w:sz w:val="32"/>
          <w:szCs w:val="32"/>
          <w:lang w:val="en-US" w:eastAsia="zh-CN" w:bidi="ar"/>
        </w:rPr>
        <w:t>3.从事工程设计或工程施工管理工作满15年；</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宋体"/>
          <w:snapToGrid w:val="0"/>
          <w:kern w:val="0"/>
          <w:sz w:val="32"/>
          <w:szCs w:val="32"/>
          <w:lang w:val="en-US" w:eastAsia="zh-CN" w:bidi="ar"/>
        </w:rPr>
        <w:t>4.从事监理工作满1年。</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黑体" w:hAnsi="宋体" w:eastAsia="黑体" w:cs="宋体"/>
          <w:snapToGrid w:val="0"/>
          <w:kern w:val="0"/>
          <w:sz w:val="32"/>
          <w:szCs w:val="32"/>
          <w:lang w:val="en-US" w:eastAsia="zh-CN" w:bidi="ar"/>
        </w:rPr>
        <w:t>（三）关于工作年限</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宋体"/>
          <w:snapToGrid w:val="0"/>
          <w:kern w:val="0"/>
          <w:sz w:val="32"/>
          <w:szCs w:val="32"/>
          <w:lang w:val="en-US" w:eastAsia="zh-CN" w:bidi="ar"/>
        </w:rPr>
        <w:t>报名条件中的专业工作年限计算截至时间为2019年12月31日。</w:t>
      </w:r>
    </w:p>
    <w:p>
      <w:pPr>
        <w:keepNext w:val="0"/>
        <w:keepLines w:val="0"/>
        <w:widowControl/>
        <w:suppressLineNumbers w:val="0"/>
        <w:spacing w:before="0" w:beforeAutospacing="0" w:after="0" w:afterAutospacing="0"/>
        <w:ind w:left="0" w:right="0" w:firstLine="570"/>
        <w:jc w:val="left"/>
        <w:rPr>
          <w:sz w:val="32"/>
          <w:szCs w:val="32"/>
        </w:rPr>
      </w:pPr>
      <w:r>
        <w:rPr>
          <w:rFonts w:hint="eastAsia" w:ascii="黑体" w:hAnsi="宋体" w:eastAsia="黑体" w:cs="宋体"/>
          <w:snapToGrid w:val="0"/>
          <w:kern w:val="0"/>
          <w:sz w:val="32"/>
          <w:szCs w:val="32"/>
          <w:lang w:val="en-US" w:eastAsia="zh-CN" w:bidi="ar"/>
        </w:rPr>
        <w:t>三、取得资格证书的条件</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宋体"/>
          <w:snapToGrid w:val="0"/>
          <w:kern w:val="0"/>
          <w:sz w:val="32"/>
          <w:szCs w:val="32"/>
          <w:lang w:val="en-US" w:eastAsia="zh-CN" w:bidi="ar"/>
        </w:rPr>
        <w:t>全国监理工程师资格考试分滚动与非滚动两种管理模式。参加4个科目考试（级别为考全科）的人员，必须在连续2个考试年度内通过全部应试科目</w:t>
      </w:r>
      <w:r>
        <w:rPr>
          <w:rFonts w:hint="eastAsia" w:ascii="仿宋" w:hAnsi="仿宋" w:eastAsia="仿宋" w:cs="仿宋"/>
          <w:snapToGrid w:val="0"/>
          <w:kern w:val="0"/>
          <w:sz w:val="32"/>
          <w:szCs w:val="32"/>
          <w:lang w:val="en-US" w:eastAsia="zh-CN" w:bidi="ar"/>
        </w:rPr>
        <w:t>为合格</w:t>
      </w:r>
      <w:r>
        <w:rPr>
          <w:rFonts w:hint="eastAsia" w:ascii="仿宋" w:hAnsi="仿宋" w:eastAsia="仿宋" w:cs="宋体"/>
          <w:snapToGrid w:val="0"/>
          <w:kern w:val="0"/>
          <w:sz w:val="32"/>
          <w:szCs w:val="32"/>
          <w:lang w:val="en-US" w:eastAsia="zh-CN" w:bidi="ar"/>
        </w:rPr>
        <w:t>方可获得资格证书；符合免试条件，参加2个科目考试（级别为免2科）的人员，必须在1个考试年度内通过应试科目</w:t>
      </w:r>
      <w:r>
        <w:rPr>
          <w:rFonts w:hint="eastAsia" w:ascii="仿宋" w:hAnsi="仿宋" w:eastAsia="仿宋" w:cs="仿宋"/>
          <w:snapToGrid w:val="0"/>
          <w:kern w:val="0"/>
          <w:sz w:val="32"/>
          <w:szCs w:val="32"/>
          <w:lang w:val="en-US" w:eastAsia="zh-CN" w:bidi="ar"/>
        </w:rPr>
        <w:t>为合格</w:t>
      </w:r>
      <w:r>
        <w:rPr>
          <w:rFonts w:hint="eastAsia" w:ascii="仿宋" w:hAnsi="仿宋" w:eastAsia="仿宋" w:cs="宋体"/>
          <w:snapToGrid w:val="0"/>
          <w:kern w:val="0"/>
          <w:sz w:val="32"/>
          <w:szCs w:val="32"/>
          <w:lang w:val="en-US" w:eastAsia="zh-CN" w:bidi="ar"/>
        </w:rPr>
        <w:t>方可获得资格证书。</w:t>
      </w:r>
    </w:p>
    <w:p>
      <w:pPr>
        <w:keepNext w:val="0"/>
        <w:keepLines w:val="0"/>
        <w:widowControl/>
        <w:suppressLineNumbers w:val="0"/>
        <w:spacing w:before="0" w:beforeAutospacing="0" w:after="0" w:afterAutospacing="0"/>
        <w:ind w:left="0" w:right="0" w:firstLine="570"/>
        <w:jc w:val="left"/>
        <w:rPr>
          <w:sz w:val="32"/>
          <w:szCs w:val="32"/>
        </w:rPr>
      </w:pPr>
      <w:r>
        <w:rPr>
          <w:rFonts w:hint="eastAsia" w:ascii="黑体" w:hAnsi="宋体" w:eastAsia="黑体" w:cs="宋体"/>
          <w:snapToGrid w:val="0"/>
          <w:kern w:val="0"/>
          <w:sz w:val="32"/>
          <w:szCs w:val="32"/>
          <w:lang w:val="en-US" w:eastAsia="zh-CN" w:bidi="ar"/>
        </w:rPr>
        <w:t>四、网上报名时间及程序、资格审查、交费时间及办法、打印准考证时间</w:t>
      </w:r>
    </w:p>
    <w:p>
      <w:pPr>
        <w:keepNext w:val="0"/>
        <w:keepLines w:val="0"/>
        <w:widowControl/>
        <w:suppressLineNumbers w:val="0"/>
        <w:spacing w:before="0" w:beforeAutospacing="0" w:after="0" w:afterAutospacing="0"/>
        <w:ind w:left="0" w:right="0" w:firstLine="570"/>
        <w:jc w:val="left"/>
        <w:rPr>
          <w:sz w:val="32"/>
          <w:szCs w:val="32"/>
        </w:rPr>
      </w:pPr>
      <w:r>
        <w:rPr>
          <w:rFonts w:hint="eastAsia" w:ascii="仿宋" w:hAnsi="仿宋" w:eastAsia="仿宋" w:cs="宋体"/>
          <w:snapToGrid w:val="0"/>
          <w:kern w:val="0"/>
          <w:sz w:val="32"/>
          <w:szCs w:val="32"/>
          <w:lang w:val="en-US" w:eastAsia="zh-CN" w:bidi="ar"/>
        </w:rPr>
        <w:t>2019年度全国监理工程师资格考试实行网上报名和考前资格审查相结合的办法。</w:t>
      </w:r>
    </w:p>
    <w:p>
      <w:pPr>
        <w:keepNext w:val="0"/>
        <w:keepLines w:val="0"/>
        <w:widowControl/>
        <w:suppressLineNumbers w:val="0"/>
        <w:spacing w:before="0" w:beforeAutospacing="0" w:after="0" w:afterAutospacing="0"/>
        <w:ind w:left="0" w:right="0" w:firstLine="570"/>
        <w:jc w:val="left"/>
        <w:rPr>
          <w:sz w:val="32"/>
          <w:szCs w:val="32"/>
        </w:rPr>
      </w:pPr>
      <w:r>
        <w:rPr>
          <w:rFonts w:hint="eastAsia" w:ascii="黑体" w:hAnsi="宋体" w:eastAsia="黑体" w:cs="宋体"/>
          <w:snapToGrid w:val="0"/>
          <w:kern w:val="0"/>
          <w:sz w:val="32"/>
          <w:szCs w:val="32"/>
          <w:lang w:val="en-US" w:eastAsia="zh-CN" w:bidi="ar"/>
        </w:rPr>
        <w:t>（一）报名时间</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宋体"/>
          <w:snapToGrid w:val="0"/>
          <w:kern w:val="0"/>
          <w:sz w:val="32"/>
          <w:szCs w:val="32"/>
          <w:lang w:val="en-US" w:eastAsia="zh-CN" w:bidi="ar"/>
        </w:rPr>
        <w:t>网上报名时间：2019年2月22日9:00至3月5日17:00。考生应在报名期间完成所有报名程序并下载打印《2019年度全国监理工程师资格考试报名表》（下称《资格考试报名表》），否则视为未成功报名。</w:t>
      </w:r>
    </w:p>
    <w:p>
      <w:pPr>
        <w:keepNext w:val="0"/>
        <w:keepLines w:val="0"/>
        <w:widowControl/>
        <w:suppressLineNumbers w:val="0"/>
        <w:spacing w:before="0" w:beforeAutospacing="0" w:after="0" w:afterAutospacing="0"/>
        <w:ind w:left="0" w:right="0" w:firstLine="570"/>
        <w:jc w:val="left"/>
        <w:rPr>
          <w:sz w:val="32"/>
          <w:szCs w:val="32"/>
        </w:rPr>
      </w:pPr>
      <w:r>
        <w:rPr>
          <w:rFonts w:hint="eastAsia" w:ascii="黑体" w:hAnsi="宋体" w:eastAsia="黑体" w:cs="宋体"/>
          <w:snapToGrid w:val="0"/>
          <w:kern w:val="0"/>
          <w:sz w:val="32"/>
          <w:szCs w:val="32"/>
          <w:lang w:val="en-US" w:eastAsia="zh-CN" w:bidi="ar"/>
        </w:rPr>
        <w:t>（二）报名程序</w:t>
      </w:r>
    </w:p>
    <w:p>
      <w:pPr>
        <w:keepNext w:val="0"/>
        <w:keepLines w:val="0"/>
        <w:widowControl/>
        <w:suppressLineNumbers w:val="0"/>
        <w:spacing w:before="0" w:beforeAutospacing="0" w:after="0" w:afterAutospacing="0"/>
        <w:ind w:left="0" w:right="0" w:firstLine="570"/>
        <w:jc w:val="left"/>
        <w:rPr>
          <w:sz w:val="32"/>
          <w:szCs w:val="32"/>
        </w:rPr>
      </w:pPr>
      <w:r>
        <w:rPr>
          <w:rFonts w:hint="eastAsia" w:ascii="黑体" w:hAnsi="宋体" w:eastAsia="黑体" w:cs="宋体"/>
          <w:snapToGrid w:val="0"/>
          <w:kern w:val="0"/>
          <w:sz w:val="32"/>
          <w:szCs w:val="32"/>
          <w:lang w:val="en-US" w:eastAsia="zh-CN" w:bidi="ar"/>
        </w:rPr>
        <w:t>1.考生报名照片预处理</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宋体"/>
          <w:snapToGrid w:val="0"/>
          <w:kern w:val="0"/>
          <w:sz w:val="32"/>
          <w:szCs w:val="32"/>
          <w:lang w:val="en-US" w:eastAsia="zh-CN" w:bidi="ar"/>
        </w:rPr>
        <w:t>“考试报名服务平台”实行注册和报名照片资源共享，考试机构不再对照片进行审核。考生注册之前，请登录中国人事考试网（http://www.cpta.com.cn）或河南人事考试网下载“照片审核处理工具”软件，自行进行照片审核处理，只有通过审核处理后新生成的报名照片才能被网上报名服务平台识别，照片上传成功后系统会自动审核通过。</w:t>
      </w:r>
    </w:p>
    <w:p>
      <w:pPr>
        <w:keepNext w:val="0"/>
        <w:keepLines w:val="0"/>
        <w:widowControl/>
        <w:suppressLineNumbers w:val="0"/>
        <w:spacing w:before="0" w:beforeAutospacing="0" w:after="0" w:afterAutospacing="0"/>
        <w:ind w:left="0" w:right="0" w:firstLine="570"/>
        <w:jc w:val="left"/>
        <w:rPr>
          <w:sz w:val="32"/>
          <w:szCs w:val="32"/>
        </w:rPr>
      </w:pPr>
      <w:r>
        <w:rPr>
          <w:rFonts w:hint="eastAsia" w:ascii="黑体" w:hAnsi="宋体" w:eastAsia="黑体" w:cs="宋体"/>
          <w:snapToGrid w:val="0"/>
          <w:kern w:val="0"/>
          <w:sz w:val="32"/>
          <w:szCs w:val="32"/>
          <w:lang w:val="en-US" w:eastAsia="zh-CN" w:bidi="ar"/>
        </w:rPr>
        <w:t>2.考生网上注册</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宋体"/>
          <w:snapToGrid w:val="0"/>
          <w:kern w:val="0"/>
          <w:sz w:val="32"/>
          <w:szCs w:val="32"/>
          <w:lang w:val="en-US" w:eastAsia="zh-CN" w:bidi="ar"/>
        </w:rPr>
        <w:t>考生登录http://www.cpta.com.cn(中国人事考试网)或</w:t>
      </w:r>
      <w:r>
        <w:rPr>
          <w:rFonts w:hint="eastAsia" w:ascii="仿宋" w:hAnsi="仿宋" w:eastAsia="仿宋" w:cs="宋体"/>
          <w:snapToGrid w:val="0"/>
          <w:kern w:val="0"/>
          <w:sz w:val="32"/>
          <w:szCs w:val="32"/>
          <w:lang w:val="en-US" w:eastAsia="zh-CN" w:bidi="ar"/>
        </w:rPr>
        <w:fldChar w:fldCharType="begin"/>
      </w:r>
      <w:r>
        <w:rPr>
          <w:rFonts w:hint="eastAsia" w:ascii="仿宋" w:hAnsi="仿宋" w:eastAsia="仿宋" w:cs="宋体"/>
          <w:snapToGrid w:val="0"/>
          <w:kern w:val="0"/>
          <w:sz w:val="32"/>
          <w:szCs w:val="32"/>
          <w:lang w:val="en-US" w:eastAsia="zh-CN" w:bidi="ar"/>
        </w:rPr>
        <w:instrText xml:space="preserve"> HYPERLINK "http://zg.cpta.com.cn/examfront" </w:instrText>
      </w:r>
      <w:r>
        <w:rPr>
          <w:rFonts w:hint="eastAsia" w:ascii="仿宋" w:hAnsi="仿宋" w:eastAsia="仿宋" w:cs="宋体"/>
          <w:snapToGrid w:val="0"/>
          <w:kern w:val="0"/>
          <w:sz w:val="32"/>
          <w:szCs w:val="32"/>
          <w:lang w:val="en-US" w:eastAsia="zh-CN" w:bidi="ar"/>
        </w:rPr>
        <w:fldChar w:fldCharType="separate"/>
      </w:r>
      <w:r>
        <w:rPr>
          <w:rStyle w:val="7"/>
          <w:rFonts w:hint="eastAsia" w:ascii="仿宋" w:hAnsi="仿宋" w:eastAsia="仿宋" w:cs="宋体"/>
          <w:color w:val="auto"/>
          <w:kern w:val="0"/>
          <w:sz w:val="32"/>
          <w:szCs w:val="32"/>
          <w:u w:val="none"/>
          <w:lang w:val="en-US"/>
        </w:rPr>
        <w:t>http://zg.cpta.com.cn/examfront</w:t>
      </w:r>
      <w:r>
        <w:rPr>
          <w:rFonts w:hint="eastAsia" w:ascii="仿宋" w:hAnsi="仿宋" w:eastAsia="仿宋" w:cs="宋体"/>
          <w:snapToGrid w:val="0"/>
          <w:kern w:val="0"/>
          <w:sz w:val="32"/>
          <w:szCs w:val="32"/>
          <w:lang w:val="en-US" w:eastAsia="zh-CN" w:bidi="ar"/>
        </w:rPr>
        <w:fldChar w:fldCharType="end"/>
      </w:r>
      <w:r>
        <w:rPr>
          <w:rFonts w:hint="eastAsia" w:ascii="仿宋" w:hAnsi="仿宋" w:eastAsia="仿宋" w:cs="宋体"/>
          <w:snapToGrid w:val="0"/>
          <w:kern w:val="0"/>
          <w:sz w:val="32"/>
          <w:szCs w:val="32"/>
          <w:lang w:val="en-US" w:eastAsia="zh-CN" w:bidi="ar"/>
        </w:rPr>
        <w:t>(考试报名服务平台)，点击“注册”按钮，按照提示认真填写个人注册信息并上传已处理好的照片，要确保个人信息真实、完整、准确。请考生牢记注册用户名和密码，以备缴费环节和打印准考证环节使用，并且可在以后报考其他人事考试时使用。</w:t>
      </w:r>
    </w:p>
    <w:p>
      <w:pPr>
        <w:keepNext w:val="0"/>
        <w:keepLines w:val="0"/>
        <w:widowControl/>
        <w:suppressLineNumbers w:val="0"/>
        <w:spacing w:before="0" w:beforeAutospacing="0" w:after="0" w:afterAutospacing="0"/>
        <w:ind w:left="0" w:right="0" w:firstLine="570"/>
        <w:jc w:val="left"/>
        <w:rPr>
          <w:sz w:val="32"/>
          <w:szCs w:val="32"/>
        </w:rPr>
      </w:pPr>
      <w:r>
        <w:rPr>
          <w:rFonts w:hint="eastAsia" w:ascii="黑体" w:hAnsi="宋体" w:eastAsia="黑体" w:cs="宋体"/>
          <w:snapToGrid w:val="0"/>
          <w:kern w:val="0"/>
          <w:sz w:val="32"/>
          <w:szCs w:val="32"/>
          <w:lang w:val="en-US" w:eastAsia="zh-CN" w:bidi="ar"/>
        </w:rPr>
        <w:t>3.考生网上报名</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宋体"/>
          <w:snapToGrid w:val="0"/>
          <w:kern w:val="0"/>
          <w:sz w:val="32"/>
          <w:szCs w:val="32"/>
          <w:lang w:val="en-US" w:eastAsia="zh-CN" w:bidi="ar"/>
        </w:rPr>
        <w:t>注册成功后，考生登录服务平台，点击左侧“进入网上报名”栏目，选择“全国监理工程师资格考试”，下一步报考省份选择“河南省”，进入报考信息填写页面，请考生按照要求进行填写。</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宋体"/>
          <w:snapToGrid w:val="0"/>
          <w:kern w:val="0"/>
          <w:sz w:val="32"/>
          <w:szCs w:val="32"/>
          <w:lang w:val="en-US" w:eastAsia="zh-CN" w:bidi="ar"/>
        </w:rPr>
        <w:t>报名按照属地原则：省直和中央驻郑副厅级以上单位（在省人事考试中心有主管单位报考代码的，下称“省直单位”）的考生在选择“地市”和“审核点”时，应选择“省直”（</w:t>
      </w:r>
      <w:r>
        <w:rPr>
          <w:rFonts w:hint="eastAsia" w:ascii="黑体" w:hAnsi="宋体" w:eastAsia="黑体" w:cs="宋体"/>
          <w:snapToGrid w:val="0"/>
          <w:kern w:val="0"/>
          <w:sz w:val="32"/>
          <w:szCs w:val="32"/>
          <w:lang w:val="en-US" w:eastAsia="zh-CN" w:bidi="ar"/>
        </w:rPr>
        <w:t>请勿错选为郑州市</w:t>
      </w:r>
      <w:r>
        <w:rPr>
          <w:rFonts w:hint="eastAsia" w:ascii="仿宋" w:hAnsi="仿宋" w:eastAsia="仿宋" w:cs="宋体"/>
          <w:snapToGrid w:val="0"/>
          <w:kern w:val="0"/>
          <w:sz w:val="32"/>
          <w:szCs w:val="32"/>
          <w:lang w:val="en-US" w:eastAsia="zh-CN" w:bidi="ar"/>
        </w:rPr>
        <w:t>）；省辖市的考生应选择相应省辖市；省直管县（市）考生选择原省辖市；实行人事代理单位（或个人）的考生应选择档案存放地的省辖市。</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宋体"/>
          <w:snapToGrid w:val="0"/>
          <w:kern w:val="0"/>
          <w:sz w:val="32"/>
          <w:szCs w:val="32"/>
          <w:lang w:val="en-US" w:eastAsia="zh-CN" w:bidi="ar"/>
        </w:rPr>
        <w:t>成功填写报考信息后，请再次认真检查，确认无误后点击“报名信息确认”（报名信息确认后，考生若需修改报名信息，请点击“修改报名信息”取消确认状态，修改完毕后请再次进行确认。修改报名信息仅限报名期间，通过资格审查后不能再进行信息修改）。报名信息确认后，须用A4纸打印《资格考试报名表》一式两份，一份供资格审查时使用，一份本人留存。</w:t>
      </w:r>
    </w:p>
    <w:p>
      <w:pPr>
        <w:keepNext w:val="0"/>
        <w:keepLines w:val="0"/>
        <w:widowControl/>
        <w:suppressLineNumbers w:val="0"/>
        <w:spacing w:before="0" w:beforeAutospacing="0" w:after="0" w:afterAutospacing="0"/>
        <w:ind w:left="0" w:right="0" w:firstLine="643"/>
        <w:jc w:val="left"/>
        <w:rPr>
          <w:sz w:val="32"/>
          <w:szCs w:val="32"/>
        </w:rPr>
      </w:pPr>
      <w:r>
        <w:rPr>
          <w:rStyle w:val="5"/>
          <w:rFonts w:hint="eastAsia" w:ascii="Times New Roman" w:hAnsi="Times New Roman" w:eastAsia="仿宋" w:cs="仿宋"/>
          <w:bCs w:val="0"/>
          <w:snapToGrid w:val="0"/>
          <w:kern w:val="0"/>
          <w:sz w:val="32"/>
          <w:szCs w:val="32"/>
          <w:lang w:val="en-US" w:eastAsia="zh-CN" w:bidi="ar"/>
        </w:rPr>
        <w:t>（三）资格审查</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仿宋"/>
          <w:snapToGrid w:val="0"/>
          <w:kern w:val="0"/>
          <w:sz w:val="32"/>
          <w:szCs w:val="32"/>
          <w:lang w:val="en-US" w:eastAsia="zh-CN" w:bidi="ar"/>
        </w:rPr>
        <w:t>资格审查由省市两级住</w:t>
      </w:r>
      <w:r>
        <w:rPr>
          <w:rFonts w:hint="eastAsia" w:ascii="仿宋" w:hAnsi="仿宋" w:eastAsia="仿宋" w:cs="宋体"/>
          <w:bCs/>
          <w:snapToGrid w:val="0"/>
          <w:kern w:val="0"/>
          <w:sz w:val="32"/>
          <w:szCs w:val="32"/>
          <w:lang w:val="en-US" w:eastAsia="zh-CN" w:bidi="ar"/>
        </w:rPr>
        <w:t>建部门负责，</w:t>
      </w:r>
      <w:r>
        <w:rPr>
          <w:rFonts w:hint="eastAsia" w:ascii="仿宋" w:hAnsi="仿宋" w:eastAsia="仿宋" w:cs="仿宋"/>
          <w:snapToGrid w:val="0"/>
          <w:kern w:val="0"/>
          <w:sz w:val="32"/>
          <w:szCs w:val="32"/>
          <w:lang w:val="en-US" w:eastAsia="zh-CN" w:bidi="ar"/>
        </w:rPr>
        <w:t>各级人社(职称)部门负责资格审查的监督与指导。</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仿宋"/>
          <w:snapToGrid w:val="0"/>
          <w:kern w:val="0"/>
          <w:sz w:val="32"/>
          <w:szCs w:val="32"/>
          <w:lang w:val="en-US" w:eastAsia="zh-CN" w:bidi="ar"/>
        </w:rPr>
        <w:t>2019年新考生和2017年（含）以后报名的老考生均须进行资格审查。</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仿宋"/>
          <w:snapToGrid w:val="0"/>
          <w:kern w:val="0"/>
          <w:sz w:val="32"/>
          <w:szCs w:val="32"/>
          <w:lang w:val="en-US" w:eastAsia="zh-CN" w:bidi="ar"/>
        </w:rPr>
        <w:t>资格审查时间段为2019年2月25日至3月8日。</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仿宋"/>
          <w:snapToGrid w:val="0"/>
          <w:kern w:val="0"/>
          <w:sz w:val="32"/>
          <w:szCs w:val="32"/>
          <w:lang w:val="en-US" w:eastAsia="zh-CN" w:bidi="ar"/>
        </w:rPr>
        <w:t>考生所在单位</w:t>
      </w:r>
      <w:r>
        <w:rPr>
          <w:rFonts w:hint="eastAsia" w:ascii="仿宋" w:hAnsi="仿宋" w:eastAsia="仿宋" w:cs="宋体"/>
          <w:bCs/>
          <w:snapToGrid w:val="0"/>
          <w:kern w:val="0"/>
          <w:sz w:val="32"/>
          <w:szCs w:val="32"/>
          <w:lang w:val="en-US" w:eastAsia="zh-CN" w:bidi="ar"/>
        </w:rPr>
        <w:t>应按照规定条件对考生提供的材料进行核实并打印填写《</w:t>
      </w:r>
      <w:r>
        <w:rPr>
          <w:rFonts w:hint="eastAsia" w:ascii="仿宋" w:hAnsi="仿宋" w:eastAsia="仿宋" w:cs="宋体"/>
          <w:snapToGrid w:val="0"/>
          <w:kern w:val="0"/>
          <w:sz w:val="32"/>
          <w:szCs w:val="32"/>
          <w:lang w:val="en-US" w:eastAsia="zh-CN" w:bidi="ar"/>
        </w:rPr>
        <w:t>全国监理工程师资格考试报名汇总表》（见附件，下称《考试报名汇总表》）</w:t>
      </w:r>
      <w:r>
        <w:rPr>
          <w:rFonts w:hint="eastAsia" w:ascii="仿宋" w:hAnsi="仿宋" w:eastAsia="仿宋" w:cs="宋体"/>
          <w:bCs/>
          <w:snapToGrid w:val="0"/>
          <w:kern w:val="0"/>
          <w:sz w:val="32"/>
          <w:szCs w:val="32"/>
          <w:lang w:val="en-US" w:eastAsia="zh-CN" w:bidi="ar"/>
        </w:rPr>
        <w:t>，</w:t>
      </w:r>
      <w:r>
        <w:rPr>
          <w:rFonts w:hint="eastAsia" w:ascii="仿宋" w:hAnsi="仿宋" w:eastAsia="仿宋" w:cs="仿宋"/>
          <w:snapToGrid w:val="0"/>
          <w:kern w:val="0"/>
          <w:sz w:val="32"/>
          <w:szCs w:val="32"/>
          <w:lang w:val="en-US" w:eastAsia="zh-CN" w:bidi="ar"/>
        </w:rPr>
        <w:t>集中到住</w:t>
      </w:r>
      <w:r>
        <w:rPr>
          <w:rFonts w:hint="eastAsia" w:ascii="仿宋" w:hAnsi="仿宋" w:eastAsia="仿宋" w:cs="宋体"/>
          <w:bCs/>
          <w:snapToGrid w:val="0"/>
          <w:kern w:val="0"/>
          <w:sz w:val="32"/>
          <w:szCs w:val="32"/>
          <w:lang w:val="en-US" w:eastAsia="zh-CN" w:bidi="ar"/>
        </w:rPr>
        <w:t>建部门进行资格审查；</w:t>
      </w:r>
      <w:r>
        <w:rPr>
          <w:rFonts w:hint="eastAsia" w:ascii="仿宋" w:hAnsi="仿宋" w:eastAsia="仿宋" w:cs="宋体"/>
          <w:snapToGrid w:val="0"/>
          <w:kern w:val="0"/>
          <w:sz w:val="32"/>
          <w:szCs w:val="32"/>
          <w:lang w:val="en-US" w:eastAsia="zh-CN" w:bidi="ar"/>
        </w:rPr>
        <w:t>实行人事代理单位（或个人）的考生由各级政府人力资源社会保障部门所属的人才交流中心（机构）负责</w:t>
      </w:r>
      <w:r>
        <w:rPr>
          <w:rFonts w:hint="eastAsia" w:ascii="仿宋" w:hAnsi="仿宋" w:eastAsia="仿宋" w:cs="宋体"/>
          <w:bCs/>
          <w:snapToGrid w:val="0"/>
          <w:kern w:val="0"/>
          <w:sz w:val="32"/>
          <w:szCs w:val="32"/>
          <w:lang w:val="en-US" w:eastAsia="zh-CN" w:bidi="ar"/>
        </w:rPr>
        <w:t>。</w:t>
      </w:r>
      <w:r>
        <w:rPr>
          <w:rFonts w:hint="eastAsia" w:ascii="仿宋" w:hAnsi="仿宋" w:eastAsia="仿宋" w:cs="仿宋"/>
          <w:snapToGrid w:val="0"/>
          <w:kern w:val="0"/>
          <w:sz w:val="32"/>
          <w:szCs w:val="32"/>
          <w:lang w:val="en-US" w:eastAsia="zh-CN" w:bidi="ar"/>
        </w:rPr>
        <w:t>审查时须提交</w:t>
      </w:r>
      <w:r>
        <w:rPr>
          <w:rFonts w:hint="eastAsia" w:ascii="仿宋" w:hAnsi="仿宋" w:eastAsia="仿宋" w:cs="宋体"/>
          <w:snapToGrid w:val="0"/>
          <w:spacing w:val="20"/>
          <w:kern w:val="0"/>
          <w:sz w:val="32"/>
          <w:szCs w:val="32"/>
          <w:lang w:val="en-US" w:eastAsia="zh-CN" w:bidi="ar"/>
        </w:rPr>
        <w:t>《考试报名汇总表》、</w:t>
      </w:r>
      <w:r>
        <w:rPr>
          <w:rFonts w:hint="eastAsia" w:ascii="仿宋" w:hAnsi="仿宋" w:eastAsia="仿宋" w:cs="仿宋"/>
          <w:snapToGrid w:val="0"/>
          <w:kern w:val="0"/>
          <w:sz w:val="32"/>
          <w:szCs w:val="32"/>
          <w:lang w:val="en-US" w:eastAsia="zh-CN" w:bidi="ar"/>
        </w:rPr>
        <w:t>《资格考试报名表》、学历（学位）证书、专业技术职务证书、相关工作经历证明。</w:t>
      </w:r>
    </w:p>
    <w:p>
      <w:pPr>
        <w:keepNext w:val="0"/>
        <w:keepLines w:val="0"/>
        <w:widowControl/>
        <w:suppressLineNumbers w:val="0"/>
        <w:spacing w:before="0" w:beforeAutospacing="0" w:after="0" w:afterAutospacing="0" w:line="360" w:lineRule="auto"/>
        <w:ind w:left="0" w:right="0" w:firstLine="632" w:firstLineChars="200"/>
        <w:jc w:val="left"/>
        <w:rPr>
          <w:sz w:val="32"/>
          <w:szCs w:val="32"/>
        </w:rPr>
      </w:pPr>
      <w:r>
        <w:rPr>
          <w:rFonts w:hint="eastAsia" w:ascii="仿宋" w:hAnsi="仿宋" w:eastAsia="仿宋" w:cs="仿宋"/>
          <w:snapToGrid w:val="0"/>
          <w:kern w:val="0"/>
          <w:sz w:val="32"/>
          <w:szCs w:val="32"/>
          <w:lang w:val="en-US" w:eastAsia="zh-CN" w:bidi="ar"/>
        </w:rPr>
        <w:t>省直资格审查时间为2019年3月6日至3月8日。</w:t>
      </w:r>
      <w:r>
        <w:rPr>
          <w:rFonts w:hint="eastAsia" w:ascii="仿宋" w:hAnsi="仿宋" w:eastAsia="仿宋" w:cs="宋体"/>
          <w:bCs/>
          <w:snapToGrid w:val="0"/>
          <w:kern w:val="0"/>
          <w:sz w:val="32"/>
          <w:szCs w:val="32"/>
          <w:lang w:val="en-US" w:eastAsia="zh-CN" w:bidi="ar"/>
        </w:rPr>
        <w:t>省直考生所在单位应按照规定条件对考生提供的材料进行核实并打印填写《</w:t>
      </w:r>
      <w:r>
        <w:rPr>
          <w:rFonts w:hint="eastAsia" w:ascii="仿宋" w:hAnsi="仿宋" w:eastAsia="仿宋" w:cs="宋体"/>
          <w:snapToGrid w:val="0"/>
          <w:spacing w:val="20"/>
          <w:kern w:val="0"/>
          <w:sz w:val="32"/>
          <w:szCs w:val="32"/>
          <w:lang w:val="en-US" w:eastAsia="zh-CN" w:bidi="ar"/>
        </w:rPr>
        <w:t>考试报名</w:t>
      </w:r>
      <w:r>
        <w:rPr>
          <w:rFonts w:hint="eastAsia" w:ascii="仿宋" w:hAnsi="仿宋" w:eastAsia="仿宋" w:cs="宋体"/>
          <w:bCs/>
          <w:snapToGrid w:val="0"/>
          <w:kern w:val="0"/>
          <w:sz w:val="32"/>
          <w:szCs w:val="32"/>
          <w:lang w:val="en-US" w:eastAsia="zh-CN" w:bidi="ar"/>
        </w:rPr>
        <w:t>汇总表》，并集中到省住房和城乡建设厅（审查地址：郑州市黄河路96号省建筑工人文化宫院内，咨询电话：63870275）进行资格审查。省住房和城乡建设厅将全部审查合格人员的《资格考试报名表》、《考试报名汇总表》于2019年3月11日前送交省人事考试中心考务部（郑州市顺河路32号）。</w:t>
      </w:r>
    </w:p>
    <w:p>
      <w:pPr>
        <w:keepNext w:val="0"/>
        <w:keepLines w:val="0"/>
        <w:widowControl/>
        <w:suppressLineNumbers w:val="0"/>
        <w:spacing w:before="0" w:beforeAutospacing="0" w:after="0" w:afterAutospacing="0"/>
        <w:ind w:left="0" w:right="0" w:firstLine="712" w:firstLineChars="200"/>
        <w:jc w:val="left"/>
        <w:rPr>
          <w:sz w:val="32"/>
          <w:szCs w:val="32"/>
        </w:rPr>
      </w:pPr>
      <w:r>
        <w:rPr>
          <w:rFonts w:hint="eastAsia" w:ascii="仿宋" w:hAnsi="仿宋" w:eastAsia="仿宋" w:cs="宋体"/>
          <w:snapToGrid w:val="0"/>
          <w:spacing w:val="20"/>
          <w:kern w:val="0"/>
          <w:sz w:val="32"/>
          <w:szCs w:val="32"/>
          <w:lang w:val="en-US" w:eastAsia="zh-CN" w:bidi="ar"/>
        </w:rPr>
        <w:t>省辖市资格审查具体时间由各省辖市</w:t>
      </w:r>
      <w:r>
        <w:rPr>
          <w:rFonts w:hint="eastAsia" w:ascii="仿宋" w:hAnsi="仿宋" w:eastAsia="仿宋" w:cs="宋体"/>
          <w:bCs/>
          <w:snapToGrid w:val="0"/>
          <w:kern w:val="0"/>
          <w:sz w:val="32"/>
          <w:szCs w:val="32"/>
          <w:lang w:val="en-US" w:eastAsia="zh-CN" w:bidi="ar"/>
        </w:rPr>
        <w:t>住房和城乡建设局（委）与人事考试机构</w:t>
      </w:r>
      <w:r>
        <w:rPr>
          <w:rFonts w:hint="eastAsia" w:ascii="仿宋" w:hAnsi="仿宋" w:eastAsia="仿宋" w:cs="宋体"/>
          <w:snapToGrid w:val="0"/>
          <w:spacing w:val="20"/>
          <w:kern w:val="0"/>
          <w:sz w:val="32"/>
          <w:szCs w:val="32"/>
          <w:lang w:val="en-US" w:eastAsia="zh-CN" w:bidi="ar"/>
        </w:rPr>
        <w:t>商定</w:t>
      </w:r>
      <w:r>
        <w:rPr>
          <w:rFonts w:hint="eastAsia" w:ascii="仿宋" w:hAnsi="仿宋" w:eastAsia="仿宋" w:cs="仿宋"/>
          <w:snapToGrid w:val="0"/>
          <w:kern w:val="0"/>
          <w:sz w:val="32"/>
          <w:szCs w:val="32"/>
          <w:lang w:val="en-US" w:eastAsia="zh-CN" w:bidi="ar"/>
        </w:rPr>
        <w:t>后公布。</w:t>
      </w:r>
    </w:p>
    <w:p>
      <w:pPr>
        <w:keepNext w:val="0"/>
        <w:keepLines w:val="0"/>
        <w:widowControl/>
        <w:suppressLineNumbers w:val="0"/>
        <w:spacing w:before="0" w:beforeAutospacing="0" w:after="0" w:afterAutospacing="0" w:line="360" w:lineRule="auto"/>
        <w:ind w:left="0" w:right="0" w:firstLine="632" w:firstLineChars="200"/>
        <w:jc w:val="left"/>
        <w:rPr>
          <w:sz w:val="32"/>
          <w:szCs w:val="32"/>
        </w:rPr>
      </w:pPr>
      <w:r>
        <w:rPr>
          <w:rFonts w:hint="eastAsia" w:ascii="仿宋" w:hAnsi="仿宋" w:eastAsia="仿宋" w:cs="宋体"/>
          <w:bCs/>
          <w:snapToGrid w:val="0"/>
          <w:kern w:val="0"/>
          <w:sz w:val="32"/>
          <w:szCs w:val="32"/>
          <w:lang w:val="en-US" w:eastAsia="zh-CN" w:bidi="ar"/>
        </w:rPr>
        <w:t>各省辖市及各省直管县（市）符合条件考生所在单位应按照规定条件对考生提供的材料进行核实并打印填写《</w:t>
      </w:r>
      <w:r>
        <w:rPr>
          <w:rFonts w:hint="eastAsia" w:ascii="仿宋" w:hAnsi="仿宋" w:eastAsia="仿宋" w:cs="宋体"/>
          <w:snapToGrid w:val="0"/>
          <w:spacing w:val="20"/>
          <w:kern w:val="0"/>
          <w:sz w:val="32"/>
          <w:szCs w:val="32"/>
          <w:lang w:val="en-US" w:eastAsia="zh-CN" w:bidi="ar"/>
        </w:rPr>
        <w:t>考试报名</w:t>
      </w:r>
      <w:r>
        <w:rPr>
          <w:rFonts w:hint="eastAsia" w:ascii="仿宋" w:hAnsi="仿宋" w:eastAsia="仿宋" w:cs="宋体"/>
          <w:bCs/>
          <w:snapToGrid w:val="0"/>
          <w:kern w:val="0"/>
          <w:sz w:val="32"/>
          <w:szCs w:val="32"/>
          <w:lang w:val="en-US" w:eastAsia="zh-CN" w:bidi="ar"/>
        </w:rPr>
        <w:t>汇总表》，并集中到住房和城乡建设局（委）进行资格审查。住房和城乡建设局（委）将全部审查合格人员的《资格考试报名表》、《考试报名汇总表》在规定时间内送交省辖市人事考试机构。各省辖市人事考试机构将通过资格审查的所有考生状态在网上设置为“资格审核通过”，并于2019年3月12日前将《考试报名汇总表》以电子邮件形式发给省人事考试中心计算机部。</w:t>
      </w:r>
    </w:p>
    <w:p>
      <w:pPr>
        <w:keepNext w:val="0"/>
        <w:keepLines w:val="0"/>
        <w:widowControl/>
        <w:suppressLineNumbers w:val="0"/>
        <w:spacing w:before="0" w:beforeAutospacing="0" w:after="0" w:afterAutospacing="0"/>
        <w:ind w:left="0" w:right="0" w:firstLine="316" w:firstLineChars="100"/>
        <w:jc w:val="left"/>
        <w:rPr>
          <w:sz w:val="32"/>
          <w:szCs w:val="32"/>
        </w:rPr>
      </w:pPr>
      <w:r>
        <w:rPr>
          <w:rFonts w:hint="eastAsia" w:ascii="黑体" w:hAnsi="宋体" w:eastAsia="黑体" w:cs="宋体"/>
          <w:snapToGrid w:val="0"/>
          <w:kern w:val="0"/>
          <w:sz w:val="32"/>
          <w:szCs w:val="32"/>
          <w:lang w:val="en-US" w:eastAsia="zh-CN" w:bidi="ar"/>
        </w:rPr>
        <w:t>（四）交费时间及办法</w:t>
      </w:r>
    </w:p>
    <w:p>
      <w:pPr>
        <w:keepNext w:val="0"/>
        <w:keepLines w:val="0"/>
        <w:widowControl/>
        <w:suppressLineNumbers w:val="0"/>
        <w:spacing w:before="0" w:beforeAutospacing="0" w:after="0" w:afterAutospacing="0"/>
        <w:ind w:left="0" w:right="0" w:firstLine="570"/>
        <w:jc w:val="left"/>
        <w:rPr>
          <w:sz w:val="32"/>
          <w:szCs w:val="32"/>
        </w:rPr>
      </w:pPr>
      <w:r>
        <w:rPr>
          <w:rFonts w:hint="eastAsia" w:ascii="黑体" w:hAnsi="宋体" w:eastAsia="黑体" w:cs="宋体"/>
          <w:snapToGrid w:val="0"/>
          <w:kern w:val="0"/>
          <w:sz w:val="32"/>
          <w:szCs w:val="32"/>
          <w:lang w:val="en-US" w:eastAsia="zh-CN" w:bidi="ar"/>
        </w:rPr>
        <w:t>1．交费时间</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宋体"/>
          <w:snapToGrid w:val="0"/>
          <w:kern w:val="0"/>
          <w:sz w:val="32"/>
          <w:szCs w:val="32"/>
          <w:lang w:val="en-US" w:eastAsia="zh-CN" w:bidi="ar"/>
        </w:rPr>
        <w:t>网上交费时间：2019年3月 15日9：00至3月20日17：00。</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宋体"/>
          <w:snapToGrid w:val="0"/>
          <w:kern w:val="0"/>
          <w:sz w:val="32"/>
          <w:szCs w:val="32"/>
          <w:lang w:val="en-US" w:eastAsia="zh-CN" w:bidi="ar"/>
        </w:rPr>
        <w:t>通过资格审查的考生须按时交费，在规定时间内未交费的，视为自动放弃。</w:t>
      </w:r>
    </w:p>
    <w:p>
      <w:pPr>
        <w:keepNext w:val="0"/>
        <w:keepLines w:val="0"/>
        <w:widowControl/>
        <w:suppressLineNumbers w:val="0"/>
        <w:spacing w:before="0" w:beforeAutospacing="0" w:after="0" w:afterAutospacing="0"/>
        <w:ind w:left="0" w:right="0" w:firstLine="570"/>
        <w:jc w:val="left"/>
        <w:rPr>
          <w:sz w:val="32"/>
          <w:szCs w:val="32"/>
        </w:rPr>
      </w:pPr>
      <w:r>
        <w:rPr>
          <w:rFonts w:hint="eastAsia" w:ascii="黑体" w:hAnsi="宋体" w:eastAsia="黑体" w:cs="宋体"/>
          <w:snapToGrid w:val="0"/>
          <w:kern w:val="0"/>
          <w:sz w:val="32"/>
          <w:szCs w:val="32"/>
          <w:lang w:val="en-US" w:eastAsia="zh-CN" w:bidi="ar"/>
        </w:rPr>
        <w:t>2．交费办法</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仿宋"/>
          <w:snapToGrid w:val="0"/>
          <w:kern w:val="0"/>
          <w:sz w:val="32"/>
          <w:szCs w:val="32"/>
          <w:lang w:val="en-US" w:eastAsia="zh-CN" w:bidi="ar"/>
        </w:rPr>
        <w:t>经资格审查符合报名条件的考生，方可进行网上交费。</w:t>
      </w:r>
      <w:r>
        <w:rPr>
          <w:rFonts w:hint="eastAsia" w:ascii="仿宋" w:hAnsi="仿宋" w:eastAsia="仿宋" w:cs="宋体"/>
          <w:snapToGrid w:val="0"/>
          <w:kern w:val="0"/>
          <w:sz w:val="32"/>
          <w:szCs w:val="32"/>
          <w:lang w:val="en-US" w:eastAsia="zh-CN" w:bidi="ar"/>
        </w:rPr>
        <w:t>考生在规定时间内进入中国人事考试网 (http://www.cpta.com.cn)，按照提示步骤进行网上交费，交费须使用银联卡。按照省财政厅、省物价局《关于监理工程师执业资格考试收费标准的批复》（豫价费[1996]第294号和豫政[2008]52号）的规定，报考《建设工程监理案例分析》的收考试报名费60元，报考其它三科的每科收考试报名费40元。</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宋体"/>
          <w:snapToGrid w:val="0"/>
          <w:kern w:val="0"/>
          <w:sz w:val="32"/>
          <w:szCs w:val="32"/>
          <w:lang w:val="en-US" w:eastAsia="zh-CN" w:bidi="ar"/>
        </w:rPr>
        <w:t>网上交费成功的考生，可在交费截止1个月后的30天内到河南省人事考试中心领取发票（节假日除外），未在规定时间内领取发票的，视为放弃领取发票。</w:t>
      </w:r>
      <w:r>
        <w:rPr>
          <w:rFonts w:hint="eastAsia" w:ascii="仿宋" w:hAnsi="仿宋" w:eastAsia="仿宋" w:cs="宋体"/>
          <w:snapToGrid w:val="0"/>
          <w:spacing w:val="20"/>
          <w:kern w:val="0"/>
          <w:sz w:val="32"/>
          <w:szCs w:val="32"/>
          <w:lang w:val="en-US" w:eastAsia="zh-CN" w:bidi="ar"/>
        </w:rPr>
        <w:t>个人领取发票，只需带本人身份证；单位领取发票须提供《考试报名汇总表》。</w:t>
      </w:r>
    </w:p>
    <w:p>
      <w:pPr>
        <w:keepNext w:val="0"/>
        <w:keepLines w:val="0"/>
        <w:widowControl/>
        <w:suppressLineNumbers w:val="0"/>
        <w:spacing w:before="0" w:beforeAutospacing="0" w:after="0" w:afterAutospacing="0"/>
        <w:ind w:left="0" w:right="0" w:firstLine="570"/>
        <w:jc w:val="left"/>
        <w:rPr>
          <w:sz w:val="32"/>
          <w:szCs w:val="32"/>
        </w:rPr>
      </w:pPr>
      <w:r>
        <w:rPr>
          <w:rFonts w:hint="eastAsia" w:ascii="黑体" w:hAnsi="宋体" w:eastAsia="黑体" w:cs="宋体"/>
          <w:snapToGrid w:val="0"/>
          <w:kern w:val="0"/>
          <w:sz w:val="32"/>
          <w:szCs w:val="32"/>
          <w:lang w:val="en-US" w:eastAsia="zh-CN" w:bidi="ar"/>
        </w:rPr>
        <w:t>（五）打印准考证时间</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宋体"/>
          <w:snapToGrid w:val="0"/>
          <w:kern w:val="0"/>
          <w:sz w:val="32"/>
          <w:szCs w:val="32"/>
          <w:lang w:val="en-US" w:eastAsia="zh-CN" w:bidi="ar"/>
        </w:rPr>
        <w:t>2019年5月10日9:00至5月17日17:00，网上已交费的考生登录中国人事考试网(</w:t>
      </w:r>
      <w:r>
        <w:rPr>
          <w:rFonts w:hint="eastAsia" w:ascii="仿宋" w:hAnsi="仿宋" w:eastAsia="仿宋" w:cs="宋体"/>
          <w:snapToGrid w:val="0"/>
          <w:kern w:val="0"/>
          <w:sz w:val="32"/>
          <w:szCs w:val="32"/>
          <w:lang w:val="en-US" w:eastAsia="zh-CN" w:bidi="ar"/>
        </w:rPr>
        <w:fldChar w:fldCharType="begin"/>
      </w:r>
      <w:r>
        <w:rPr>
          <w:rFonts w:hint="eastAsia" w:ascii="仿宋" w:hAnsi="仿宋" w:eastAsia="仿宋" w:cs="宋体"/>
          <w:snapToGrid w:val="0"/>
          <w:kern w:val="0"/>
          <w:sz w:val="32"/>
          <w:szCs w:val="32"/>
          <w:lang w:val="en-US" w:eastAsia="zh-CN" w:bidi="ar"/>
        </w:rPr>
        <w:instrText xml:space="preserve"> HYPERLINK "http://www.cpta.com.cn/" </w:instrText>
      </w:r>
      <w:r>
        <w:rPr>
          <w:rFonts w:hint="eastAsia" w:ascii="仿宋" w:hAnsi="仿宋" w:eastAsia="仿宋" w:cs="宋体"/>
          <w:snapToGrid w:val="0"/>
          <w:kern w:val="0"/>
          <w:sz w:val="32"/>
          <w:szCs w:val="32"/>
          <w:lang w:val="en-US" w:eastAsia="zh-CN" w:bidi="ar"/>
        </w:rPr>
        <w:fldChar w:fldCharType="separate"/>
      </w:r>
      <w:r>
        <w:rPr>
          <w:rStyle w:val="7"/>
          <w:rFonts w:hint="eastAsia" w:ascii="仿宋" w:hAnsi="仿宋" w:eastAsia="仿宋" w:cs="宋体"/>
          <w:color w:val="auto"/>
          <w:kern w:val="0"/>
          <w:sz w:val="32"/>
          <w:szCs w:val="32"/>
          <w:u w:val="none"/>
          <w:lang w:val="en-US"/>
        </w:rPr>
        <w:t>http://www.cpta.com.cn</w:t>
      </w:r>
      <w:r>
        <w:rPr>
          <w:rFonts w:hint="eastAsia" w:ascii="仿宋" w:hAnsi="仿宋" w:eastAsia="仿宋" w:cs="宋体"/>
          <w:snapToGrid w:val="0"/>
          <w:kern w:val="0"/>
          <w:sz w:val="32"/>
          <w:szCs w:val="32"/>
          <w:lang w:val="en-US" w:eastAsia="zh-CN" w:bidi="ar"/>
        </w:rPr>
        <w:fldChar w:fldCharType="end"/>
      </w:r>
      <w:r>
        <w:rPr>
          <w:rFonts w:hint="eastAsia" w:ascii="仿宋" w:hAnsi="仿宋" w:eastAsia="仿宋" w:cs="宋体"/>
          <w:snapToGrid w:val="0"/>
          <w:kern w:val="0"/>
          <w:sz w:val="32"/>
          <w:szCs w:val="32"/>
          <w:lang w:val="en-US" w:eastAsia="zh-CN" w:bidi="ar"/>
        </w:rPr>
        <w:t>）,自行打印准考证。</w:t>
      </w:r>
    </w:p>
    <w:p>
      <w:pPr>
        <w:keepNext w:val="0"/>
        <w:keepLines w:val="0"/>
        <w:widowControl/>
        <w:suppressLineNumbers w:val="0"/>
        <w:spacing w:before="0" w:beforeAutospacing="0" w:after="0" w:afterAutospacing="0"/>
        <w:ind w:left="0" w:right="0" w:firstLine="570"/>
        <w:jc w:val="left"/>
        <w:rPr>
          <w:sz w:val="32"/>
          <w:szCs w:val="32"/>
        </w:rPr>
      </w:pPr>
      <w:r>
        <w:rPr>
          <w:rFonts w:hint="eastAsia" w:ascii="黑体" w:hAnsi="宋体" w:eastAsia="黑体" w:cs="宋体"/>
          <w:snapToGrid w:val="0"/>
          <w:kern w:val="0"/>
          <w:sz w:val="32"/>
          <w:szCs w:val="32"/>
          <w:lang w:val="en-US" w:eastAsia="zh-CN" w:bidi="ar"/>
        </w:rPr>
        <w:t>五、教材征订</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宋体"/>
          <w:snapToGrid w:val="0"/>
          <w:kern w:val="0"/>
          <w:sz w:val="32"/>
          <w:szCs w:val="32"/>
          <w:lang w:val="en-US" w:eastAsia="zh-CN" w:bidi="ar"/>
        </w:rPr>
        <w:t>2019年继续使用2014年版监理工程师资格考试大纲和考试用书，有关事宜请与中国建设监理协会或中国建筑工业出版社联系。</w:t>
      </w:r>
    </w:p>
    <w:p>
      <w:pPr>
        <w:keepNext w:val="0"/>
        <w:keepLines w:val="0"/>
        <w:widowControl/>
        <w:suppressLineNumbers w:val="0"/>
        <w:spacing w:before="0" w:beforeAutospacing="0" w:after="0" w:afterAutospacing="0"/>
        <w:ind w:left="0" w:right="0" w:firstLine="570"/>
        <w:jc w:val="left"/>
        <w:rPr>
          <w:sz w:val="32"/>
          <w:szCs w:val="32"/>
        </w:rPr>
      </w:pPr>
      <w:r>
        <w:rPr>
          <w:rFonts w:hint="eastAsia" w:ascii="黑体" w:hAnsi="宋体" w:eastAsia="黑体" w:cs="宋体"/>
          <w:snapToGrid w:val="0"/>
          <w:kern w:val="0"/>
          <w:sz w:val="32"/>
          <w:szCs w:val="32"/>
          <w:lang w:val="en-US" w:eastAsia="zh-CN" w:bidi="ar"/>
        </w:rPr>
        <w:t>六、注意事项</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仿宋"/>
          <w:snapToGrid w:val="0"/>
          <w:kern w:val="0"/>
          <w:sz w:val="32"/>
          <w:szCs w:val="32"/>
          <w:lang w:val="en-US" w:eastAsia="zh-CN" w:bidi="ar"/>
        </w:rPr>
        <w:t>（一）各省辖市、各部门在组织报名时，要严格报名条件，把好资格审查关。凡未经资格审查或资格审查不合格的考生各考试管理机构一律不得接受报名。</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仿宋"/>
          <w:snapToGrid w:val="0"/>
          <w:kern w:val="0"/>
          <w:sz w:val="32"/>
          <w:szCs w:val="32"/>
          <w:lang w:val="en-US" w:eastAsia="zh-CN" w:bidi="ar"/>
        </w:rPr>
        <w:t>(二)各报考单位汇总填写《考试报名汇总表》时，应填写考生在网上报名时系统自动生成的网上报名序号，并将免试部分科目与考试全部科目的考生分别汇总。</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仿宋"/>
          <w:snapToGrid w:val="0"/>
          <w:color w:val="000000"/>
          <w:kern w:val="0"/>
          <w:sz w:val="32"/>
          <w:szCs w:val="32"/>
          <w:lang w:val="en-US" w:eastAsia="zh-CN" w:bidi="ar"/>
        </w:rPr>
        <w:t>（三）根据有关文件规定，考生原则上只能在现工作地或户籍所在地报名参加考试。</w:t>
      </w:r>
      <w:r>
        <w:rPr>
          <w:rFonts w:hint="eastAsia" w:ascii="仿宋" w:hAnsi="仿宋" w:eastAsia="仿宋" w:cs="宋体"/>
          <w:snapToGrid w:val="0"/>
          <w:kern w:val="0"/>
          <w:sz w:val="32"/>
          <w:szCs w:val="32"/>
          <w:lang w:val="en-US" w:eastAsia="zh-CN" w:bidi="ar"/>
        </w:rPr>
        <w:t>考生报名时要认真填写报名信息，无误后再进行确认。在网上提交信息时，考生不得写繁体字和不规范简化字，姓名必须与身份证的姓名相同；答题卡和试卷上所填姓名必须与准考证、身份证上姓名相同。</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仿宋"/>
          <w:snapToGrid w:val="0"/>
          <w:kern w:val="0"/>
          <w:sz w:val="32"/>
          <w:szCs w:val="32"/>
          <w:lang w:val="en-US" w:eastAsia="zh-CN" w:bidi="ar"/>
        </w:rPr>
        <w:t>（四）各级住建行政部门的《考试报名汇总表》是省人事考试中心确定考生是否通过资格审查和能否缴费的依据。各省辖市务必核对准确后按规定时间报送，否则，将影响考生网上缴费。</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仿宋"/>
          <w:snapToGrid w:val="0"/>
          <w:kern w:val="0"/>
          <w:sz w:val="32"/>
          <w:szCs w:val="32"/>
          <w:lang w:val="en-US" w:eastAsia="zh-CN" w:bidi="ar"/>
        </w:rPr>
        <w:t>（五）考生、报考单位报名时要认真填写校对考生报名信息，无误后再进行确认，人事考试机构工作人员要认真、细心录入考生信息，建立考生信息录入责任制。</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仿宋"/>
          <w:snapToGrid w:val="0"/>
          <w:color w:val="000000"/>
          <w:kern w:val="0"/>
          <w:sz w:val="32"/>
          <w:szCs w:val="32"/>
          <w:lang w:val="en-US" w:eastAsia="zh-CN" w:bidi="ar"/>
        </w:rPr>
        <w:t>（六）考生应考时，必须携带身份证、准考证方可入场，应携带黑色墨水笔、2B铅笔、橡皮，无声无文本编辑功能的计算器。</w:t>
      </w:r>
      <w:r>
        <w:rPr>
          <w:rFonts w:hint="eastAsia" w:ascii="仿宋" w:hAnsi="仿宋" w:eastAsia="仿宋" w:cs="宋体"/>
          <w:snapToGrid w:val="0"/>
          <w:kern w:val="0"/>
          <w:sz w:val="32"/>
          <w:szCs w:val="32"/>
          <w:lang w:val="en-US" w:eastAsia="zh-CN" w:bidi="ar"/>
        </w:rPr>
        <w:t>考场备有草稿纸，供考生使用，考后收回。</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宋体"/>
          <w:snapToGrid w:val="0"/>
          <w:kern w:val="0"/>
          <w:sz w:val="32"/>
          <w:szCs w:val="32"/>
          <w:lang w:val="en-US" w:eastAsia="zh-CN" w:bidi="ar"/>
        </w:rPr>
        <w:t>（七）《建设工程监理案例分析》科目为主观题，在专用答题卡上做答，考生在答题前要仔细阅读应试人员注意事项（试卷封二）和作答须知（专用答题卡首页），答题时须使用规定的作答工具在专用答题卡划定的区域内作答。其余各科均为客观题，全部在答题卡上作答。</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宋体"/>
          <w:snapToGrid w:val="0"/>
          <w:kern w:val="0"/>
          <w:sz w:val="32"/>
          <w:szCs w:val="32"/>
          <w:lang w:val="en-US" w:eastAsia="zh-CN" w:bidi="ar"/>
        </w:rPr>
        <w:t>(八) 考试结束后采用技术手段甄别为雷同答卷的考试答卷，将给予考试成绩无效的处理。</w:t>
      </w: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宋体"/>
          <w:snapToGrid w:val="0"/>
          <w:kern w:val="0"/>
          <w:sz w:val="32"/>
          <w:szCs w:val="32"/>
          <w:lang w:val="en-US" w:eastAsia="zh-CN" w:bidi="ar"/>
        </w:rPr>
        <w:t>（九）考生可登录中国人事考试网（</w:t>
      </w:r>
      <w:r>
        <w:rPr>
          <w:rFonts w:hint="eastAsia" w:ascii="仿宋" w:hAnsi="仿宋" w:eastAsia="仿宋" w:cs="宋体"/>
          <w:snapToGrid w:val="0"/>
          <w:kern w:val="0"/>
          <w:sz w:val="32"/>
          <w:szCs w:val="32"/>
          <w:lang w:val="en-US" w:eastAsia="zh-CN" w:bidi="ar"/>
        </w:rPr>
        <w:fldChar w:fldCharType="begin"/>
      </w:r>
      <w:r>
        <w:rPr>
          <w:rFonts w:hint="eastAsia" w:ascii="仿宋" w:hAnsi="仿宋" w:eastAsia="仿宋" w:cs="宋体"/>
          <w:snapToGrid w:val="0"/>
          <w:kern w:val="0"/>
          <w:sz w:val="32"/>
          <w:szCs w:val="32"/>
          <w:lang w:val="en-US" w:eastAsia="zh-CN" w:bidi="ar"/>
        </w:rPr>
        <w:instrText xml:space="preserve"> HYPERLINK "http://www.cpta.com.cn）查询成绩。" </w:instrText>
      </w:r>
      <w:r>
        <w:rPr>
          <w:rFonts w:hint="eastAsia" w:ascii="仿宋" w:hAnsi="仿宋" w:eastAsia="仿宋" w:cs="宋体"/>
          <w:snapToGrid w:val="0"/>
          <w:kern w:val="0"/>
          <w:sz w:val="32"/>
          <w:szCs w:val="32"/>
          <w:lang w:val="en-US" w:eastAsia="zh-CN" w:bidi="ar"/>
        </w:rPr>
        <w:fldChar w:fldCharType="separate"/>
      </w:r>
      <w:r>
        <w:rPr>
          <w:rStyle w:val="7"/>
          <w:rFonts w:hint="eastAsia" w:ascii="仿宋" w:hAnsi="仿宋" w:eastAsia="仿宋" w:cs="宋体"/>
          <w:color w:val="auto"/>
          <w:kern w:val="0"/>
          <w:sz w:val="32"/>
          <w:szCs w:val="32"/>
          <w:u w:val="none"/>
          <w:lang w:val="en-US"/>
        </w:rPr>
        <w:t>http://www.cpta.com.cn）查询成绩。</w:t>
      </w:r>
      <w:r>
        <w:rPr>
          <w:rFonts w:hint="eastAsia" w:ascii="仿宋" w:hAnsi="仿宋" w:eastAsia="仿宋" w:cs="宋体"/>
          <w:snapToGrid w:val="0"/>
          <w:kern w:val="0"/>
          <w:sz w:val="32"/>
          <w:szCs w:val="32"/>
          <w:lang w:val="en-US" w:eastAsia="zh-CN" w:bidi="ar"/>
        </w:rPr>
        <w:fldChar w:fldCharType="end"/>
      </w:r>
    </w:p>
    <w:p>
      <w:pPr>
        <w:keepNext w:val="0"/>
        <w:keepLines w:val="0"/>
        <w:widowControl/>
        <w:suppressLineNumbers w:val="0"/>
        <w:spacing w:before="0" w:beforeAutospacing="0" w:after="0" w:afterAutospacing="0"/>
        <w:ind w:left="0" w:right="0" w:firstLine="632" w:firstLineChars="200"/>
        <w:jc w:val="left"/>
        <w:rPr>
          <w:rFonts w:hint="eastAsia" w:ascii="黑体" w:hAnsi="宋体" w:eastAsia="黑体" w:cs="宋体"/>
          <w:snapToGrid w:val="0"/>
          <w:kern w:val="0"/>
          <w:sz w:val="32"/>
          <w:szCs w:val="32"/>
          <w:lang w:val="en-US" w:eastAsia="zh-CN" w:bidi="ar"/>
        </w:rPr>
      </w:pP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黑体" w:hAnsi="宋体" w:eastAsia="黑体" w:cs="宋体"/>
          <w:snapToGrid w:val="0"/>
          <w:kern w:val="0"/>
          <w:sz w:val="32"/>
          <w:szCs w:val="32"/>
          <w:lang w:val="en-US" w:eastAsia="zh-CN" w:bidi="ar"/>
        </w:rPr>
        <w:t>附件：</w:t>
      </w:r>
      <w:r>
        <w:rPr>
          <w:rFonts w:hint="eastAsia" w:ascii="仿宋" w:hAnsi="仿宋" w:eastAsia="仿宋" w:cs="宋体"/>
          <w:snapToGrid w:val="0"/>
          <w:kern w:val="0"/>
          <w:sz w:val="32"/>
          <w:szCs w:val="32"/>
          <w:lang w:val="en-US" w:eastAsia="zh-CN" w:bidi="ar"/>
        </w:rPr>
        <w:t>全国监理工程师资格考试报名汇总表</w:t>
      </w:r>
    </w:p>
    <w:p>
      <w:pPr>
        <w:keepNext w:val="0"/>
        <w:keepLines w:val="0"/>
        <w:widowControl/>
        <w:suppressLineNumbers w:val="0"/>
        <w:spacing w:before="0" w:beforeAutospacing="0" w:after="0" w:afterAutospacing="0"/>
        <w:ind w:left="0" w:right="0" w:firstLine="632" w:firstLineChars="200"/>
        <w:jc w:val="left"/>
        <w:rPr>
          <w:rFonts w:hint="eastAsia" w:ascii="仿宋" w:hAnsi="仿宋" w:eastAsia="仿宋" w:cs="宋体"/>
          <w:snapToGrid w:val="0"/>
          <w:kern w:val="0"/>
          <w:sz w:val="32"/>
          <w:szCs w:val="32"/>
          <w:lang w:val="en-US" w:eastAsia="zh-CN" w:bidi="ar"/>
        </w:rPr>
      </w:pPr>
    </w:p>
    <w:p>
      <w:pPr>
        <w:keepNext w:val="0"/>
        <w:keepLines w:val="0"/>
        <w:widowControl/>
        <w:suppressLineNumbers w:val="0"/>
        <w:spacing w:before="0" w:beforeAutospacing="0" w:after="0" w:afterAutospacing="0"/>
        <w:ind w:left="0" w:right="0" w:firstLine="632" w:firstLineChars="200"/>
        <w:jc w:val="left"/>
        <w:rPr>
          <w:sz w:val="32"/>
          <w:szCs w:val="32"/>
        </w:rPr>
      </w:pPr>
      <w:r>
        <w:rPr>
          <w:rFonts w:hint="eastAsia" w:ascii="仿宋" w:hAnsi="仿宋" w:eastAsia="仿宋" w:cs="宋体"/>
          <w:snapToGrid w:val="0"/>
          <w:kern w:val="0"/>
          <w:sz w:val="32"/>
          <w:szCs w:val="32"/>
          <w:lang w:val="en-US" w:eastAsia="zh-CN" w:bidi="ar"/>
        </w:rPr>
        <w:t>河南省人力资源和社会保障厅 河南省住房和城乡建设厅</w:t>
      </w:r>
    </w:p>
    <w:p>
      <w:pPr>
        <w:keepNext w:val="0"/>
        <w:keepLines w:val="0"/>
        <w:widowControl/>
        <w:suppressLineNumbers w:val="0"/>
        <w:spacing w:before="0" w:beforeAutospacing="0" w:after="0" w:afterAutospacing="0"/>
        <w:ind w:right="0" w:firstLine="4108" w:firstLineChars="1300"/>
        <w:jc w:val="left"/>
        <w:rPr>
          <w:sz w:val="32"/>
          <w:szCs w:val="32"/>
        </w:rPr>
      </w:pPr>
      <w:r>
        <w:rPr>
          <w:rFonts w:hint="eastAsia" w:ascii="仿宋" w:hAnsi="仿宋" w:eastAsia="仿宋" w:cs="宋体"/>
          <w:snapToGrid w:val="0"/>
          <w:kern w:val="0"/>
          <w:sz w:val="32"/>
          <w:szCs w:val="32"/>
          <w:lang w:val="en-US" w:eastAsia="zh-CN" w:bidi="ar"/>
        </w:rPr>
        <w:t>2019年2月15日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Times New Roman" w:hAnsi="Times New Roman" w:eastAsia="仿宋_GB2312"/>
          <w:snapToGrid w:val="0"/>
          <w:sz w:val="32"/>
        </w:rPr>
        <w:sectPr>
          <w:footerReference r:id="rId3" w:type="default"/>
          <w:pgSz w:w="11906" w:h="16838"/>
          <w:pgMar w:top="2098" w:right="1474" w:bottom="1984" w:left="1587" w:header="851" w:footer="1587" w:gutter="0"/>
          <w:paperSrc/>
          <w:cols w:space="720" w:num="1"/>
          <w:rtlGutter w:val="0"/>
          <w:docGrid w:type="linesAndChars" w:linePitch="579" w:charSpace="-842"/>
        </w:sectPr>
      </w:pPr>
    </w:p>
    <w:p>
      <w:pPr>
        <w:rPr>
          <w:rFonts w:hint="eastAsia" w:ascii="黑体" w:hAnsi="宋体" w:eastAsia="黑体"/>
          <w:sz w:val="30"/>
          <w:szCs w:val="30"/>
        </w:rPr>
      </w:pPr>
      <w:r>
        <w:rPr>
          <w:rFonts w:hint="eastAsia" w:ascii="黑体" w:hAnsi="宋体" w:eastAsia="黑体"/>
          <w:sz w:val="30"/>
          <w:szCs w:val="30"/>
        </w:rPr>
        <w:t>附件：</w:t>
      </w:r>
    </w:p>
    <w:p>
      <w:pPr>
        <w:spacing w:line="360" w:lineRule="auto"/>
        <w:jc w:val="center"/>
        <w:rPr>
          <w:rFonts w:ascii="宋体" w:hAnsi="宋体"/>
        </w:rPr>
      </w:pPr>
      <w:r>
        <w:rPr>
          <w:rFonts w:hint="eastAsia" w:ascii="宋体" w:hAnsi="宋体"/>
          <w:b/>
          <w:bCs/>
          <w:sz w:val="36"/>
          <w:u w:val="single"/>
        </w:rPr>
        <w:t xml:space="preserve">        </w:t>
      </w:r>
      <w:r>
        <w:rPr>
          <w:rFonts w:hint="eastAsia" w:ascii="宋体" w:hAnsi="宋体"/>
          <w:b/>
          <w:bCs/>
          <w:sz w:val="36"/>
        </w:rPr>
        <w:t>年度全国监理工程师资格考试报名汇总表</w:t>
      </w:r>
    </w:p>
    <w:p>
      <w:pPr>
        <w:rPr>
          <w:rFonts w:hint="eastAsia" w:ascii="宋体" w:hAnsi="宋体"/>
        </w:rPr>
      </w:pPr>
      <w:r>
        <w:rPr>
          <w:rFonts w:hint="eastAsia" w:ascii="宋体" w:hAnsi="宋体"/>
        </w:rPr>
        <w:t>单位（盖章） ：                      级别：</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 xml:space="preserve">     第   页 （共   页）</w:t>
      </w:r>
    </w:p>
    <w:tbl>
      <w:tblPr>
        <w:tblStyle w:val="8"/>
        <w:tblW w:w="14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1215"/>
        <w:gridCol w:w="236"/>
        <w:gridCol w:w="291"/>
        <w:gridCol w:w="291"/>
        <w:gridCol w:w="291"/>
        <w:gridCol w:w="291"/>
        <w:gridCol w:w="291"/>
        <w:gridCol w:w="291"/>
        <w:gridCol w:w="291"/>
        <w:gridCol w:w="291"/>
        <w:gridCol w:w="291"/>
        <w:gridCol w:w="291"/>
        <w:gridCol w:w="291"/>
        <w:gridCol w:w="291"/>
        <w:gridCol w:w="291"/>
        <w:gridCol w:w="291"/>
        <w:gridCol w:w="285"/>
        <w:gridCol w:w="297"/>
        <w:gridCol w:w="227"/>
        <w:gridCol w:w="66"/>
        <w:gridCol w:w="886"/>
        <w:gridCol w:w="66"/>
        <w:gridCol w:w="862"/>
        <w:gridCol w:w="66"/>
        <w:gridCol w:w="862"/>
        <w:gridCol w:w="66"/>
        <w:gridCol w:w="1171"/>
        <w:gridCol w:w="66"/>
        <w:gridCol w:w="2713"/>
        <w:gridCol w:w="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6" w:type="dxa"/>
          <w:cantSplit/>
          <w:trHeight w:val="567" w:hRule="atLeast"/>
        </w:trPr>
        <w:tc>
          <w:tcPr>
            <w:tcW w:w="1514" w:type="dxa"/>
            <w:noWrap w:val="0"/>
            <w:vAlign w:val="center"/>
          </w:tcPr>
          <w:p>
            <w:pPr>
              <w:jc w:val="center"/>
              <w:rPr>
                <w:rFonts w:hint="eastAsia" w:ascii="宋体" w:hAnsi="宋体"/>
                <w:sz w:val="30"/>
                <w:szCs w:val="30"/>
              </w:rPr>
            </w:pPr>
            <w:r>
              <w:rPr>
                <w:rFonts w:hint="eastAsia" w:ascii="宋体" w:hAnsi="宋体"/>
                <w:sz w:val="30"/>
                <w:szCs w:val="30"/>
              </w:rPr>
              <w:t>网</w:t>
            </w:r>
            <w:r>
              <w:rPr>
                <w:rFonts w:hint="eastAsia" w:ascii="宋体" w:hAnsi="宋体"/>
                <w:sz w:val="30"/>
                <w:szCs w:val="30"/>
                <w:lang w:val="en-US" w:eastAsia="zh-CN"/>
              </w:rPr>
              <w:t xml:space="preserve">    </w:t>
            </w:r>
            <w:bookmarkStart w:id="0" w:name="_GoBack"/>
            <w:bookmarkEnd w:id="0"/>
            <w:r>
              <w:rPr>
                <w:rFonts w:hint="eastAsia" w:ascii="宋体" w:hAnsi="宋体"/>
                <w:sz w:val="30"/>
                <w:szCs w:val="30"/>
              </w:rPr>
              <w:t>上</w:t>
            </w:r>
          </w:p>
          <w:p>
            <w:pPr>
              <w:jc w:val="center"/>
              <w:rPr>
                <w:rFonts w:hint="eastAsia" w:ascii="宋体" w:hAnsi="宋体"/>
                <w:sz w:val="30"/>
                <w:szCs w:val="30"/>
              </w:rPr>
            </w:pPr>
            <w:r>
              <w:rPr>
                <w:rFonts w:hint="eastAsia" w:ascii="宋体" w:hAnsi="宋体"/>
                <w:sz w:val="30"/>
                <w:szCs w:val="30"/>
              </w:rPr>
              <w:t>报名序号</w:t>
            </w:r>
          </w:p>
        </w:tc>
        <w:tc>
          <w:tcPr>
            <w:tcW w:w="1215" w:type="dxa"/>
            <w:noWrap w:val="0"/>
            <w:vAlign w:val="center"/>
          </w:tcPr>
          <w:p>
            <w:pPr>
              <w:jc w:val="center"/>
              <w:rPr>
                <w:rFonts w:hint="eastAsia" w:ascii="宋体" w:hAnsi="宋体"/>
                <w:sz w:val="30"/>
                <w:szCs w:val="30"/>
              </w:rPr>
            </w:pPr>
            <w:r>
              <w:rPr>
                <w:rFonts w:hint="eastAsia" w:ascii="宋体" w:hAnsi="宋体"/>
                <w:sz w:val="30"/>
                <w:szCs w:val="30"/>
              </w:rPr>
              <w:t>姓名</w:t>
            </w:r>
          </w:p>
        </w:tc>
        <w:tc>
          <w:tcPr>
            <w:tcW w:w="5119" w:type="dxa"/>
            <w:gridSpan w:val="18"/>
            <w:tcBorders>
              <w:bottom w:val="single" w:color="auto" w:sz="4" w:space="0"/>
            </w:tcBorders>
            <w:noWrap w:val="0"/>
            <w:vAlign w:val="center"/>
          </w:tcPr>
          <w:p>
            <w:pPr>
              <w:jc w:val="center"/>
              <w:rPr>
                <w:rFonts w:hint="eastAsia" w:ascii="宋体" w:hAnsi="宋体"/>
                <w:sz w:val="30"/>
                <w:szCs w:val="30"/>
              </w:rPr>
            </w:pPr>
            <w:r>
              <w:rPr>
                <w:rFonts w:hint="eastAsia" w:ascii="宋体" w:hAnsi="宋体"/>
                <w:sz w:val="30"/>
                <w:szCs w:val="30"/>
              </w:rPr>
              <w:t>身份证号</w:t>
            </w:r>
          </w:p>
        </w:tc>
        <w:tc>
          <w:tcPr>
            <w:tcW w:w="952" w:type="dxa"/>
            <w:gridSpan w:val="2"/>
            <w:noWrap w:val="0"/>
            <w:vAlign w:val="center"/>
          </w:tcPr>
          <w:p>
            <w:pPr>
              <w:jc w:val="center"/>
              <w:rPr>
                <w:rFonts w:hint="eastAsia" w:ascii="宋体" w:hAnsi="宋体"/>
                <w:sz w:val="30"/>
                <w:szCs w:val="30"/>
              </w:rPr>
            </w:pPr>
            <w:r>
              <w:rPr>
                <w:rFonts w:hint="eastAsia" w:ascii="宋体" w:hAnsi="宋体"/>
                <w:sz w:val="30"/>
                <w:szCs w:val="30"/>
              </w:rPr>
              <w:t>学历</w:t>
            </w:r>
          </w:p>
        </w:tc>
        <w:tc>
          <w:tcPr>
            <w:tcW w:w="928" w:type="dxa"/>
            <w:gridSpan w:val="2"/>
            <w:noWrap w:val="0"/>
            <w:vAlign w:val="center"/>
          </w:tcPr>
          <w:p>
            <w:pPr>
              <w:jc w:val="center"/>
              <w:rPr>
                <w:rFonts w:hint="eastAsia" w:ascii="宋体" w:hAnsi="宋体"/>
                <w:sz w:val="30"/>
                <w:szCs w:val="30"/>
              </w:rPr>
            </w:pPr>
            <w:r>
              <w:rPr>
                <w:rFonts w:hint="eastAsia" w:ascii="宋体" w:hAnsi="宋体"/>
                <w:sz w:val="30"/>
                <w:szCs w:val="30"/>
              </w:rPr>
              <w:t>所学专业</w:t>
            </w:r>
          </w:p>
        </w:tc>
        <w:tc>
          <w:tcPr>
            <w:tcW w:w="928" w:type="dxa"/>
            <w:gridSpan w:val="2"/>
            <w:noWrap w:val="0"/>
            <w:vAlign w:val="center"/>
          </w:tcPr>
          <w:p>
            <w:pPr>
              <w:jc w:val="center"/>
              <w:rPr>
                <w:rFonts w:hint="eastAsia" w:ascii="宋体" w:hAnsi="宋体"/>
                <w:sz w:val="30"/>
                <w:szCs w:val="30"/>
              </w:rPr>
            </w:pPr>
            <w:r>
              <w:rPr>
                <w:rFonts w:hint="eastAsia" w:ascii="宋体" w:hAnsi="宋体"/>
                <w:sz w:val="30"/>
                <w:szCs w:val="30"/>
              </w:rPr>
              <w:t>职称</w:t>
            </w:r>
          </w:p>
        </w:tc>
        <w:tc>
          <w:tcPr>
            <w:tcW w:w="1237" w:type="dxa"/>
            <w:gridSpan w:val="2"/>
            <w:noWrap w:val="0"/>
            <w:vAlign w:val="center"/>
          </w:tcPr>
          <w:p>
            <w:pPr>
              <w:jc w:val="center"/>
              <w:rPr>
                <w:rFonts w:hint="eastAsia" w:ascii="宋体" w:hAnsi="宋体"/>
                <w:sz w:val="30"/>
                <w:szCs w:val="30"/>
              </w:rPr>
            </w:pPr>
            <w:r>
              <w:rPr>
                <w:rFonts w:hint="eastAsia" w:ascii="宋体" w:hAnsi="宋体"/>
                <w:sz w:val="30"/>
                <w:szCs w:val="30"/>
              </w:rPr>
              <w:t>专业工作年限</w:t>
            </w:r>
          </w:p>
        </w:tc>
        <w:tc>
          <w:tcPr>
            <w:tcW w:w="2779" w:type="dxa"/>
            <w:gridSpan w:val="2"/>
            <w:noWrap w:val="0"/>
            <w:vAlign w:val="center"/>
          </w:tcPr>
          <w:p>
            <w:pPr>
              <w:jc w:val="center"/>
              <w:rPr>
                <w:rFonts w:hint="eastAsia" w:ascii="宋体" w:hAnsi="宋体"/>
                <w:sz w:val="30"/>
                <w:szCs w:val="30"/>
              </w:rPr>
            </w:pPr>
            <w:r>
              <w:rPr>
                <w:rFonts w:hint="eastAsia" w:ascii="宋体" w:hAnsi="宋体"/>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14" w:type="dxa"/>
            <w:noWrap w:val="0"/>
            <w:vAlign w:val="center"/>
          </w:tcPr>
          <w:p>
            <w:pPr>
              <w:jc w:val="center"/>
              <w:rPr>
                <w:rFonts w:hint="eastAsia" w:ascii="宋体" w:hAnsi="宋体"/>
              </w:rPr>
            </w:pPr>
          </w:p>
        </w:tc>
        <w:tc>
          <w:tcPr>
            <w:tcW w:w="1215" w:type="dxa"/>
            <w:noWrap w:val="0"/>
            <w:vAlign w:val="center"/>
          </w:tcPr>
          <w:p>
            <w:pPr>
              <w:jc w:val="center"/>
              <w:rPr>
                <w:rFonts w:hint="eastAsia" w:ascii="宋体" w:hAnsi="宋体"/>
              </w:rPr>
            </w:pPr>
          </w:p>
        </w:tc>
        <w:tc>
          <w:tcPr>
            <w:tcW w:w="236" w:type="dxa"/>
            <w:tcBorders>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85" w:type="dxa"/>
            <w:tcBorders>
              <w:left w:val="dashed" w:color="auto" w:sz="2" w:space="0"/>
              <w:right w:val="dashed" w:color="auto" w:sz="2" w:space="0"/>
            </w:tcBorders>
            <w:noWrap w:val="0"/>
            <w:vAlign w:val="center"/>
          </w:tcPr>
          <w:p>
            <w:pPr>
              <w:jc w:val="center"/>
              <w:rPr>
                <w:rFonts w:hint="eastAsia" w:ascii="宋体" w:hAnsi="宋体"/>
              </w:rPr>
            </w:pPr>
          </w:p>
        </w:tc>
        <w:tc>
          <w:tcPr>
            <w:tcW w:w="297" w:type="dxa"/>
            <w:tcBorders>
              <w:left w:val="dashed" w:color="auto" w:sz="2" w:space="0"/>
              <w:right w:val="dashed" w:color="auto" w:sz="2" w:space="0"/>
            </w:tcBorders>
            <w:noWrap w:val="0"/>
            <w:vAlign w:val="center"/>
          </w:tcPr>
          <w:p>
            <w:pPr>
              <w:jc w:val="center"/>
              <w:rPr>
                <w:rFonts w:hint="eastAsia" w:ascii="宋体" w:hAnsi="宋体"/>
              </w:rPr>
            </w:pPr>
          </w:p>
        </w:tc>
        <w:tc>
          <w:tcPr>
            <w:tcW w:w="293" w:type="dxa"/>
            <w:gridSpan w:val="2"/>
            <w:tcBorders>
              <w:left w:val="dashed" w:color="auto" w:sz="2" w:space="0"/>
            </w:tcBorders>
            <w:noWrap w:val="0"/>
            <w:vAlign w:val="center"/>
          </w:tcPr>
          <w:p>
            <w:pPr>
              <w:jc w:val="center"/>
              <w:rPr>
                <w:rFonts w:hint="eastAsia" w:ascii="宋体" w:hAnsi="宋体"/>
              </w:rPr>
            </w:pPr>
          </w:p>
        </w:tc>
        <w:tc>
          <w:tcPr>
            <w:tcW w:w="952" w:type="dxa"/>
            <w:gridSpan w:val="2"/>
            <w:noWrap w:val="0"/>
            <w:vAlign w:val="center"/>
          </w:tcPr>
          <w:p>
            <w:pPr>
              <w:jc w:val="center"/>
              <w:rPr>
                <w:rFonts w:hint="eastAsia" w:ascii="宋体" w:hAnsi="宋体"/>
              </w:rPr>
            </w:pPr>
          </w:p>
        </w:tc>
        <w:tc>
          <w:tcPr>
            <w:tcW w:w="928" w:type="dxa"/>
            <w:gridSpan w:val="2"/>
            <w:noWrap w:val="0"/>
            <w:vAlign w:val="center"/>
          </w:tcPr>
          <w:p>
            <w:pPr>
              <w:jc w:val="center"/>
              <w:rPr>
                <w:rFonts w:hint="eastAsia" w:ascii="宋体" w:hAnsi="宋体"/>
              </w:rPr>
            </w:pPr>
          </w:p>
        </w:tc>
        <w:tc>
          <w:tcPr>
            <w:tcW w:w="928" w:type="dxa"/>
            <w:gridSpan w:val="2"/>
            <w:noWrap w:val="0"/>
            <w:vAlign w:val="center"/>
          </w:tcPr>
          <w:p>
            <w:pPr>
              <w:jc w:val="center"/>
              <w:rPr>
                <w:rFonts w:hint="eastAsia" w:ascii="宋体" w:hAnsi="宋体"/>
              </w:rPr>
            </w:pPr>
          </w:p>
        </w:tc>
        <w:tc>
          <w:tcPr>
            <w:tcW w:w="1237" w:type="dxa"/>
            <w:gridSpan w:val="2"/>
            <w:noWrap w:val="0"/>
            <w:vAlign w:val="center"/>
          </w:tcPr>
          <w:p>
            <w:pPr>
              <w:jc w:val="center"/>
              <w:rPr>
                <w:rFonts w:hint="eastAsia" w:ascii="宋体" w:hAnsi="宋体"/>
              </w:rPr>
            </w:pPr>
          </w:p>
        </w:tc>
        <w:tc>
          <w:tcPr>
            <w:tcW w:w="2779" w:type="dxa"/>
            <w:gridSpan w:val="2"/>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14" w:type="dxa"/>
            <w:noWrap w:val="0"/>
            <w:vAlign w:val="center"/>
          </w:tcPr>
          <w:p>
            <w:pPr>
              <w:jc w:val="center"/>
              <w:rPr>
                <w:rFonts w:hint="eastAsia" w:ascii="宋体" w:hAnsi="宋体"/>
              </w:rPr>
            </w:pPr>
          </w:p>
        </w:tc>
        <w:tc>
          <w:tcPr>
            <w:tcW w:w="1215" w:type="dxa"/>
            <w:noWrap w:val="0"/>
            <w:vAlign w:val="center"/>
          </w:tcPr>
          <w:p>
            <w:pPr>
              <w:jc w:val="center"/>
              <w:rPr>
                <w:rFonts w:hint="eastAsia" w:ascii="宋体" w:hAnsi="宋体"/>
              </w:rPr>
            </w:pPr>
          </w:p>
        </w:tc>
        <w:tc>
          <w:tcPr>
            <w:tcW w:w="236" w:type="dxa"/>
            <w:tcBorders>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85" w:type="dxa"/>
            <w:tcBorders>
              <w:left w:val="dashed" w:color="auto" w:sz="2" w:space="0"/>
              <w:right w:val="dashed" w:color="auto" w:sz="2" w:space="0"/>
            </w:tcBorders>
            <w:noWrap w:val="0"/>
            <w:vAlign w:val="center"/>
          </w:tcPr>
          <w:p>
            <w:pPr>
              <w:jc w:val="center"/>
              <w:rPr>
                <w:rFonts w:hint="eastAsia" w:ascii="宋体" w:hAnsi="宋体"/>
              </w:rPr>
            </w:pPr>
          </w:p>
        </w:tc>
        <w:tc>
          <w:tcPr>
            <w:tcW w:w="297" w:type="dxa"/>
            <w:tcBorders>
              <w:left w:val="dashed" w:color="auto" w:sz="2" w:space="0"/>
              <w:right w:val="dashed" w:color="auto" w:sz="2" w:space="0"/>
            </w:tcBorders>
            <w:noWrap w:val="0"/>
            <w:vAlign w:val="center"/>
          </w:tcPr>
          <w:p>
            <w:pPr>
              <w:jc w:val="center"/>
              <w:rPr>
                <w:rFonts w:hint="eastAsia" w:ascii="宋体" w:hAnsi="宋体"/>
              </w:rPr>
            </w:pPr>
          </w:p>
        </w:tc>
        <w:tc>
          <w:tcPr>
            <w:tcW w:w="293" w:type="dxa"/>
            <w:gridSpan w:val="2"/>
            <w:tcBorders>
              <w:left w:val="dashed" w:color="auto" w:sz="2" w:space="0"/>
            </w:tcBorders>
            <w:noWrap w:val="0"/>
            <w:vAlign w:val="center"/>
          </w:tcPr>
          <w:p>
            <w:pPr>
              <w:jc w:val="center"/>
              <w:rPr>
                <w:rFonts w:hint="eastAsia" w:ascii="宋体" w:hAnsi="宋体"/>
              </w:rPr>
            </w:pPr>
          </w:p>
        </w:tc>
        <w:tc>
          <w:tcPr>
            <w:tcW w:w="952" w:type="dxa"/>
            <w:gridSpan w:val="2"/>
            <w:noWrap w:val="0"/>
            <w:vAlign w:val="center"/>
          </w:tcPr>
          <w:p>
            <w:pPr>
              <w:jc w:val="center"/>
              <w:rPr>
                <w:rFonts w:hint="eastAsia" w:ascii="宋体" w:hAnsi="宋体"/>
              </w:rPr>
            </w:pPr>
          </w:p>
        </w:tc>
        <w:tc>
          <w:tcPr>
            <w:tcW w:w="928" w:type="dxa"/>
            <w:gridSpan w:val="2"/>
            <w:noWrap w:val="0"/>
            <w:vAlign w:val="center"/>
          </w:tcPr>
          <w:p>
            <w:pPr>
              <w:jc w:val="center"/>
              <w:rPr>
                <w:rFonts w:hint="eastAsia" w:ascii="宋体" w:hAnsi="宋体"/>
              </w:rPr>
            </w:pPr>
          </w:p>
        </w:tc>
        <w:tc>
          <w:tcPr>
            <w:tcW w:w="928" w:type="dxa"/>
            <w:gridSpan w:val="2"/>
            <w:noWrap w:val="0"/>
            <w:vAlign w:val="center"/>
          </w:tcPr>
          <w:p>
            <w:pPr>
              <w:jc w:val="center"/>
              <w:rPr>
                <w:rFonts w:hint="eastAsia" w:ascii="宋体" w:hAnsi="宋体"/>
              </w:rPr>
            </w:pPr>
          </w:p>
        </w:tc>
        <w:tc>
          <w:tcPr>
            <w:tcW w:w="1237" w:type="dxa"/>
            <w:gridSpan w:val="2"/>
            <w:noWrap w:val="0"/>
            <w:vAlign w:val="center"/>
          </w:tcPr>
          <w:p>
            <w:pPr>
              <w:jc w:val="center"/>
              <w:rPr>
                <w:rFonts w:hint="eastAsia" w:ascii="宋体" w:hAnsi="宋体"/>
              </w:rPr>
            </w:pPr>
          </w:p>
        </w:tc>
        <w:tc>
          <w:tcPr>
            <w:tcW w:w="2779" w:type="dxa"/>
            <w:gridSpan w:val="2"/>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14" w:type="dxa"/>
            <w:noWrap w:val="0"/>
            <w:vAlign w:val="center"/>
          </w:tcPr>
          <w:p>
            <w:pPr>
              <w:jc w:val="center"/>
              <w:rPr>
                <w:rFonts w:hint="eastAsia" w:ascii="宋体" w:hAnsi="宋体"/>
              </w:rPr>
            </w:pPr>
          </w:p>
        </w:tc>
        <w:tc>
          <w:tcPr>
            <w:tcW w:w="1215" w:type="dxa"/>
            <w:noWrap w:val="0"/>
            <w:vAlign w:val="center"/>
          </w:tcPr>
          <w:p>
            <w:pPr>
              <w:jc w:val="center"/>
              <w:rPr>
                <w:rFonts w:hint="eastAsia" w:ascii="宋体" w:hAnsi="宋体"/>
              </w:rPr>
            </w:pPr>
          </w:p>
        </w:tc>
        <w:tc>
          <w:tcPr>
            <w:tcW w:w="236" w:type="dxa"/>
            <w:tcBorders>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85" w:type="dxa"/>
            <w:tcBorders>
              <w:left w:val="dashed" w:color="auto" w:sz="2" w:space="0"/>
              <w:right w:val="dashed" w:color="auto" w:sz="2" w:space="0"/>
            </w:tcBorders>
            <w:noWrap w:val="0"/>
            <w:vAlign w:val="center"/>
          </w:tcPr>
          <w:p>
            <w:pPr>
              <w:jc w:val="center"/>
              <w:rPr>
                <w:rFonts w:hint="eastAsia" w:ascii="宋体" w:hAnsi="宋体"/>
              </w:rPr>
            </w:pPr>
          </w:p>
        </w:tc>
        <w:tc>
          <w:tcPr>
            <w:tcW w:w="297" w:type="dxa"/>
            <w:tcBorders>
              <w:left w:val="dashed" w:color="auto" w:sz="2" w:space="0"/>
              <w:right w:val="dashed" w:color="auto" w:sz="2" w:space="0"/>
            </w:tcBorders>
            <w:noWrap w:val="0"/>
            <w:vAlign w:val="center"/>
          </w:tcPr>
          <w:p>
            <w:pPr>
              <w:jc w:val="center"/>
              <w:rPr>
                <w:rFonts w:hint="eastAsia" w:ascii="宋体" w:hAnsi="宋体"/>
              </w:rPr>
            </w:pPr>
          </w:p>
        </w:tc>
        <w:tc>
          <w:tcPr>
            <w:tcW w:w="293" w:type="dxa"/>
            <w:gridSpan w:val="2"/>
            <w:tcBorders>
              <w:left w:val="dashed" w:color="auto" w:sz="2" w:space="0"/>
            </w:tcBorders>
            <w:noWrap w:val="0"/>
            <w:vAlign w:val="center"/>
          </w:tcPr>
          <w:p>
            <w:pPr>
              <w:jc w:val="center"/>
              <w:rPr>
                <w:rFonts w:hint="eastAsia" w:ascii="宋体" w:hAnsi="宋体"/>
              </w:rPr>
            </w:pPr>
          </w:p>
        </w:tc>
        <w:tc>
          <w:tcPr>
            <w:tcW w:w="952" w:type="dxa"/>
            <w:gridSpan w:val="2"/>
            <w:noWrap w:val="0"/>
            <w:vAlign w:val="center"/>
          </w:tcPr>
          <w:p>
            <w:pPr>
              <w:jc w:val="center"/>
              <w:rPr>
                <w:rFonts w:hint="eastAsia" w:ascii="宋体" w:hAnsi="宋体"/>
              </w:rPr>
            </w:pPr>
          </w:p>
        </w:tc>
        <w:tc>
          <w:tcPr>
            <w:tcW w:w="928" w:type="dxa"/>
            <w:gridSpan w:val="2"/>
            <w:noWrap w:val="0"/>
            <w:vAlign w:val="center"/>
          </w:tcPr>
          <w:p>
            <w:pPr>
              <w:jc w:val="center"/>
              <w:rPr>
                <w:rFonts w:hint="eastAsia" w:ascii="宋体" w:hAnsi="宋体"/>
              </w:rPr>
            </w:pPr>
          </w:p>
        </w:tc>
        <w:tc>
          <w:tcPr>
            <w:tcW w:w="928" w:type="dxa"/>
            <w:gridSpan w:val="2"/>
            <w:noWrap w:val="0"/>
            <w:vAlign w:val="center"/>
          </w:tcPr>
          <w:p>
            <w:pPr>
              <w:jc w:val="center"/>
              <w:rPr>
                <w:rFonts w:hint="eastAsia" w:ascii="宋体" w:hAnsi="宋体"/>
              </w:rPr>
            </w:pPr>
          </w:p>
        </w:tc>
        <w:tc>
          <w:tcPr>
            <w:tcW w:w="1237" w:type="dxa"/>
            <w:gridSpan w:val="2"/>
            <w:noWrap w:val="0"/>
            <w:vAlign w:val="center"/>
          </w:tcPr>
          <w:p>
            <w:pPr>
              <w:jc w:val="center"/>
              <w:rPr>
                <w:rFonts w:hint="eastAsia" w:ascii="宋体" w:hAnsi="宋体"/>
              </w:rPr>
            </w:pPr>
          </w:p>
        </w:tc>
        <w:tc>
          <w:tcPr>
            <w:tcW w:w="2779" w:type="dxa"/>
            <w:gridSpan w:val="2"/>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14" w:type="dxa"/>
            <w:noWrap w:val="0"/>
            <w:vAlign w:val="center"/>
          </w:tcPr>
          <w:p>
            <w:pPr>
              <w:jc w:val="center"/>
              <w:rPr>
                <w:rFonts w:hint="eastAsia" w:ascii="宋体" w:hAnsi="宋体"/>
              </w:rPr>
            </w:pPr>
          </w:p>
        </w:tc>
        <w:tc>
          <w:tcPr>
            <w:tcW w:w="1215" w:type="dxa"/>
            <w:noWrap w:val="0"/>
            <w:vAlign w:val="center"/>
          </w:tcPr>
          <w:p>
            <w:pPr>
              <w:jc w:val="center"/>
              <w:rPr>
                <w:rFonts w:hint="eastAsia" w:ascii="宋体" w:hAnsi="宋体"/>
              </w:rPr>
            </w:pPr>
          </w:p>
        </w:tc>
        <w:tc>
          <w:tcPr>
            <w:tcW w:w="236" w:type="dxa"/>
            <w:tcBorders>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85" w:type="dxa"/>
            <w:tcBorders>
              <w:left w:val="dashed" w:color="auto" w:sz="2" w:space="0"/>
              <w:right w:val="dashed" w:color="auto" w:sz="2" w:space="0"/>
            </w:tcBorders>
            <w:noWrap w:val="0"/>
            <w:vAlign w:val="center"/>
          </w:tcPr>
          <w:p>
            <w:pPr>
              <w:jc w:val="center"/>
              <w:rPr>
                <w:rFonts w:hint="eastAsia" w:ascii="宋体" w:hAnsi="宋体"/>
              </w:rPr>
            </w:pPr>
          </w:p>
        </w:tc>
        <w:tc>
          <w:tcPr>
            <w:tcW w:w="297" w:type="dxa"/>
            <w:tcBorders>
              <w:left w:val="dashed" w:color="auto" w:sz="2" w:space="0"/>
              <w:right w:val="dashed" w:color="auto" w:sz="2" w:space="0"/>
            </w:tcBorders>
            <w:noWrap w:val="0"/>
            <w:vAlign w:val="center"/>
          </w:tcPr>
          <w:p>
            <w:pPr>
              <w:jc w:val="center"/>
              <w:rPr>
                <w:rFonts w:hint="eastAsia" w:ascii="宋体" w:hAnsi="宋体"/>
              </w:rPr>
            </w:pPr>
          </w:p>
        </w:tc>
        <w:tc>
          <w:tcPr>
            <w:tcW w:w="293" w:type="dxa"/>
            <w:gridSpan w:val="2"/>
            <w:tcBorders>
              <w:left w:val="dashed" w:color="auto" w:sz="2" w:space="0"/>
            </w:tcBorders>
            <w:noWrap w:val="0"/>
            <w:vAlign w:val="center"/>
          </w:tcPr>
          <w:p>
            <w:pPr>
              <w:jc w:val="center"/>
              <w:rPr>
                <w:rFonts w:hint="eastAsia" w:ascii="宋体" w:hAnsi="宋体"/>
              </w:rPr>
            </w:pPr>
          </w:p>
        </w:tc>
        <w:tc>
          <w:tcPr>
            <w:tcW w:w="952" w:type="dxa"/>
            <w:gridSpan w:val="2"/>
            <w:noWrap w:val="0"/>
            <w:vAlign w:val="center"/>
          </w:tcPr>
          <w:p>
            <w:pPr>
              <w:jc w:val="center"/>
              <w:rPr>
                <w:rFonts w:hint="eastAsia" w:ascii="宋体" w:hAnsi="宋体"/>
              </w:rPr>
            </w:pPr>
          </w:p>
        </w:tc>
        <w:tc>
          <w:tcPr>
            <w:tcW w:w="928" w:type="dxa"/>
            <w:gridSpan w:val="2"/>
            <w:noWrap w:val="0"/>
            <w:vAlign w:val="center"/>
          </w:tcPr>
          <w:p>
            <w:pPr>
              <w:jc w:val="center"/>
              <w:rPr>
                <w:rFonts w:hint="eastAsia" w:ascii="宋体" w:hAnsi="宋体"/>
              </w:rPr>
            </w:pPr>
          </w:p>
        </w:tc>
        <w:tc>
          <w:tcPr>
            <w:tcW w:w="928" w:type="dxa"/>
            <w:gridSpan w:val="2"/>
            <w:noWrap w:val="0"/>
            <w:vAlign w:val="center"/>
          </w:tcPr>
          <w:p>
            <w:pPr>
              <w:jc w:val="center"/>
              <w:rPr>
                <w:rFonts w:hint="eastAsia" w:ascii="宋体" w:hAnsi="宋体"/>
              </w:rPr>
            </w:pPr>
          </w:p>
        </w:tc>
        <w:tc>
          <w:tcPr>
            <w:tcW w:w="1237" w:type="dxa"/>
            <w:gridSpan w:val="2"/>
            <w:noWrap w:val="0"/>
            <w:vAlign w:val="center"/>
          </w:tcPr>
          <w:p>
            <w:pPr>
              <w:jc w:val="center"/>
              <w:rPr>
                <w:rFonts w:hint="eastAsia" w:ascii="宋体" w:hAnsi="宋体"/>
              </w:rPr>
            </w:pPr>
          </w:p>
        </w:tc>
        <w:tc>
          <w:tcPr>
            <w:tcW w:w="2779" w:type="dxa"/>
            <w:gridSpan w:val="2"/>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14" w:type="dxa"/>
            <w:noWrap w:val="0"/>
            <w:vAlign w:val="center"/>
          </w:tcPr>
          <w:p>
            <w:pPr>
              <w:jc w:val="center"/>
              <w:rPr>
                <w:rFonts w:hint="eastAsia" w:ascii="宋体" w:hAnsi="宋体"/>
              </w:rPr>
            </w:pPr>
          </w:p>
        </w:tc>
        <w:tc>
          <w:tcPr>
            <w:tcW w:w="1215" w:type="dxa"/>
            <w:noWrap w:val="0"/>
            <w:vAlign w:val="center"/>
          </w:tcPr>
          <w:p>
            <w:pPr>
              <w:jc w:val="center"/>
              <w:rPr>
                <w:rFonts w:hint="eastAsia" w:ascii="宋体" w:hAnsi="宋体"/>
              </w:rPr>
            </w:pPr>
          </w:p>
        </w:tc>
        <w:tc>
          <w:tcPr>
            <w:tcW w:w="236" w:type="dxa"/>
            <w:tcBorders>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85" w:type="dxa"/>
            <w:tcBorders>
              <w:left w:val="dashed" w:color="auto" w:sz="2" w:space="0"/>
              <w:right w:val="dashed" w:color="auto" w:sz="2" w:space="0"/>
            </w:tcBorders>
            <w:noWrap w:val="0"/>
            <w:vAlign w:val="center"/>
          </w:tcPr>
          <w:p>
            <w:pPr>
              <w:jc w:val="center"/>
              <w:rPr>
                <w:rFonts w:hint="eastAsia" w:ascii="宋体" w:hAnsi="宋体"/>
              </w:rPr>
            </w:pPr>
          </w:p>
        </w:tc>
        <w:tc>
          <w:tcPr>
            <w:tcW w:w="297" w:type="dxa"/>
            <w:tcBorders>
              <w:left w:val="dashed" w:color="auto" w:sz="2" w:space="0"/>
              <w:right w:val="dashed" w:color="auto" w:sz="2" w:space="0"/>
            </w:tcBorders>
            <w:noWrap w:val="0"/>
            <w:vAlign w:val="center"/>
          </w:tcPr>
          <w:p>
            <w:pPr>
              <w:jc w:val="center"/>
              <w:rPr>
                <w:rFonts w:hint="eastAsia" w:ascii="宋体" w:hAnsi="宋体"/>
              </w:rPr>
            </w:pPr>
          </w:p>
        </w:tc>
        <w:tc>
          <w:tcPr>
            <w:tcW w:w="293" w:type="dxa"/>
            <w:gridSpan w:val="2"/>
            <w:tcBorders>
              <w:left w:val="dashed" w:color="auto" w:sz="2" w:space="0"/>
            </w:tcBorders>
            <w:noWrap w:val="0"/>
            <w:vAlign w:val="center"/>
          </w:tcPr>
          <w:p>
            <w:pPr>
              <w:jc w:val="center"/>
              <w:rPr>
                <w:rFonts w:hint="eastAsia" w:ascii="宋体" w:hAnsi="宋体"/>
              </w:rPr>
            </w:pPr>
          </w:p>
        </w:tc>
        <w:tc>
          <w:tcPr>
            <w:tcW w:w="952" w:type="dxa"/>
            <w:gridSpan w:val="2"/>
            <w:noWrap w:val="0"/>
            <w:vAlign w:val="center"/>
          </w:tcPr>
          <w:p>
            <w:pPr>
              <w:jc w:val="center"/>
              <w:rPr>
                <w:rFonts w:hint="eastAsia" w:ascii="宋体" w:hAnsi="宋体"/>
              </w:rPr>
            </w:pPr>
          </w:p>
        </w:tc>
        <w:tc>
          <w:tcPr>
            <w:tcW w:w="928" w:type="dxa"/>
            <w:gridSpan w:val="2"/>
            <w:noWrap w:val="0"/>
            <w:vAlign w:val="center"/>
          </w:tcPr>
          <w:p>
            <w:pPr>
              <w:jc w:val="center"/>
              <w:rPr>
                <w:rFonts w:hint="eastAsia" w:ascii="宋体" w:hAnsi="宋体"/>
              </w:rPr>
            </w:pPr>
          </w:p>
        </w:tc>
        <w:tc>
          <w:tcPr>
            <w:tcW w:w="928" w:type="dxa"/>
            <w:gridSpan w:val="2"/>
            <w:noWrap w:val="0"/>
            <w:vAlign w:val="center"/>
          </w:tcPr>
          <w:p>
            <w:pPr>
              <w:jc w:val="center"/>
              <w:rPr>
                <w:rFonts w:hint="eastAsia" w:ascii="宋体" w:hAnsi="宋体"/>
              </w:rPr>
            </w:pPr>
          </w:p>
        </w:tc>
        <w:tc>
          <w:tcPr>
            <w:tcW w:w="1237" w:type="dxa"/>
            <w:gridSpan w:val="2"/>
            <w:noWrap w:val="0"/>
            <w:vAlign w:val="center"/>
          </w:tcPr>
          <w:p>
            <w:pPr>
              <w:jc w:val="center"/>
              <w:rPr>
                <w:rFonts w:hint="eastAsia" w:ascii="宋体" w:hAnsi="宋体"/>
              </w:rPr>
            </w:pPr>
          </w:p>
        </w:tc>
        <w:tc>
          <w:tcPr>
            <w:tcW w:w="2779" w:type="dxa"/>
            <w:gridSpan w:val="2"/>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14" w:type="dxa"/>
            <w:noWrap w:val="0"/>
            <w:vAlign w:val="center"/>
          </w:tcPr>
          <w:p>
            <w:pPr>
              <w:jc w:val="center"/>
              <w:rPr>
                <w:rFonts w:hint="eastAsia" w:ascii="宋体" w:hAnsi="宋体"/>
              </w:rPr>
            </w:pPr>
          </w:p>
        </w:tc>
        <w:tc>
          <w:tcPr>
            <w:tcW w:w="1215" w:type="dxa"/>
            <w:noWrap w:val="0"/>
            <w:vAlign w:val="center"/>
          </w:tcPr>
          <w:p>
            <w:pPr>
              <w:jc w:val="center"/>
              <w:rPr>
                <w:rFonts w:hint="eastAsia" w:ascii="宋体" w:hAnsi="宋体"/>
              </w:rPr>
            </w:pPr>
          </w:p>
        </w:tc>
        <w:tc>
          <w:tcPr>
            <w:tcW w:w="236" w:type="dxa"/>
            <w:tcBorders>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85" w:type="dxa"/>
            <w:tcBorders>
              <w:left w:val="dashed" w:color="auto" w:sz="2" w:space="0"/>
              <w:right w:val="dashed" w:color="auto" w:sz="2" w:space="0"/>
            </w:tcBorders>
            <w:noWrap w:val="0"/>
            <w:vAlign w:val="center"/>
          </w:tcPr>
          <w:p>
            <w:pPr>
              <w:jc w:val="center"/>
              <w:rPr>
                <w:rFonts w:hint="eastAsia" w:ascii="宋体" w:hAnsi="宋体"/>
              </w:rPr>
            </w:pPr>
          </w:p>
        </w:tc>
        <w:tc>
          <w:tcPr>
            <w:tcW w:w="297" w:type="dxa"/>
            <w:tcBorders>
              <w:left w:val="dashed" w:color="auto" w:sz="2" w:space="0"/>
              <w:right w:val="dashed" w:color="auto" w:sz="2" w:space="0"/>
            </w:tcBorders>
            <w:noWrap w:val="0"/>
            <w:vAlign w:val="center"/>
          </w:tcPr>
          <w:p>
            <w:pPr>
              <w:jc w:val="center"/>
              <w:rPr>
                <w:rFonts w:hint="eastAsia" w:ascii="宋体" w:hAnsi="宋体"/>
              </w:rPr>
            </w:pPr>
          </w:p>
        </w:tc>
        <w:tc>
          <w:tcPr>
            <w:tcW w:w="293" w:type="dxa"/>
            <w:gridSpan w:val="2"/>
            <w:tcBorders>
              <w:left w:val="dashed" w:color="auto" w:sz="2" w:space="0"/>
            </w:tcBorders>
            <w:noWrap w:val="0"/>
            <w:vAlign w:val="center"/>
          </w:tcPr>
          <w:p>
            <w:pPr>
              <w:jc w:val="center"/>
              <w:rPr>
                <w:rFonts w:hint="eastAsia" w:ascii="宋体" w:hAnsi="宋体"/>
              </w:rPr>
            </w:pPr>
          </w:p>
        </w:tc>
        <w:tc>
          <w:tcPr>
            <w:tcW w:w="952" w:type="dxa"/>
            <w:gridSpan w:val="2"/>
            <w:noWrap w:val="0"/>
            <w:vAlign w:val="center"/>
          </w:tcPr>
          <w:p>
            <w:pPr>
              <w:jc w:val="center"/>
              <w:rPr>
                <w:rFonts w:hint="eastAsia" w:ascii="宋体" w:hAnsi="宋体"/>
              </w:rPr>
            </w:pPr>
          </w:p>
        </w:tc>
        <w:tc>
          <w:tcPr>
            <w:tcW w:w="928" w:type="dxa"/>
            <w:gridSpan w:val="2"/>
            <w:noWrap w:val="0"/>
            <w:vAlign w:val="center"/>
          </w:tcPr>
          <w:p>
            <w:pPr>
              <w:jc w:val="center"/>
              <w:rPr>
                <w:rFonts w:hint="eastAsia" w:ascii="宋体" w:hAnsi="宋体"/>
              </w:rPr>
            </w:pPr>
          </w:p>
        </w:tc>
        <w:tc>
          <w:tcPr>
            <w:tcW w:w="928" w:type="dxa"/>
            <w:gridSpan w:val="2"/>
            <w:noWrap w:val="0"/>
            <w:vAlign w:val="center"/>
          </w:tcPr>
          <w:p>
            <w:pPr>
              <w:jc w:val="center"/>
              <w:rPr>
                <w:rFonts w:hint="eastAsia" w:ascii="宋体" w:hAnsi="宋体"/>
              </w:rPr>
            </w:pPr>
          </w:p>
        </w:tc>
        <w:tc>
          <w:tcPr>
            <w:tcW w:w="1237" w:type="dxa"/>
            <w:gridSpan w:val="2"/>
            <w:noWrap w:val="0"/>
            <w:vAlign w:val="center"/>
          </w:tcPr>
          <w:p>
            <w:pPr>
              <w:jc w:val="center"/>
              <w:rPr>
                <w:rFonts w:hint="eastAsia" w:ascii="宋体" w:hAnsi="宋体"/>
              </w:rPr>
            </w:pPr>
          </w:p>
        </w:tc>
        <w:tc>
          <w:tcPr>
            <w:tcW w:w="2779" w:type="dxa"/>
            <w:gridSpan w:val="2"/>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14" w:type="dxa"/>
            <w:noWrap w:val="0"/>
            <w:vAlign w:val="center"/>
          </w:tcPr>
          <w:p>
            <w:pPr>
              <w:jc w:val="center"/>
              <w:rPr>
                <w:rFonts w:hint="eastAsia" w:ascii="宋体" w:hAnsi="宋体"/>
              </w:rPr>
            </w:pPr>
          </w:p>
        </w:tc>
        <w:tc>
          <w:tcPr>
            <w:tcW w:w="1215" w:type="dxa"/>
            <w:noWrap w:val="0"/>
            <w:vAlign w:val="center"/>
          </w:tcPr>
          <w:p>
            <w:pPr>
              <w:jc w:val="center"/>
              <w:rPr>
                <w:rFonts w:hint="eastAsia" w:ascii="宋体" w:hAnsi="宋体"/>
              </w:rPr>
            </w:pPr>
          </w:p>
        </w:tc>
        <w:tc>
          <w:tcPr>
            <w:tcW w:w="236" w:type="dxa"/>
            <w:tcBorders>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85" w:type="dxa"/>
            <w:tcBorders>
              <w:left w:val="dashed" w:color="auto" w:sz="2" w:space="0"/>
              <w:right w:val="dashed" w:color="auto" w:sz="2" w:space="0"/>
            </w:tcBorders>
            <w:noWrap w:val="0"/>
            <w:vAlign w:val="center"/>
          </w:tcPr>
          <w:p>
            <w:pPr>
              <w:jc w:val="center"/>
              <w:rPr>
                <w:rFonts w:hint="eastAsia" w:ascii="宋体" w:hAnsi="宋体"/>
              </w:rPr>
            </w:pPr>
          </w:p>
        </w:tc>
        <w:tc>
          <w:tcPr>
            <w:tcW w:w="297" w:type="dxa"/>
            <w:tcBorders>
              <w:left w:val="dashed" w:color="auto" w:sz="2" w:space="0"/>
              <w:right w:val="dashed" w:color="auto" w:sz="2" w:space="0"/>
            </w:tcBorders>
            <w:noWrap w:val="0"/>
            <w:vAlign w:val="center"/>
          </w:tcPr>
          <w:p>
            <w:pPr>
              <w:jc w:val="center"/>
              <w:rPr>
                <w:rFonts w:hint="eastAsia" w:ascii="宋体" w:hAnsi="宋体"/>
              </w:rPr>
            </w:pPr>
          </w:p>
        </w:tc>
        <w:tc>
          <w:tcPr>
            <w:tcW w:w="293" w:type="dxa"/>
            <w:gridSpan w:val="2"/>
            <w:tcBorders>
              <w:left w:val="dashed" w:color="auto" w:sz="2" w:space="0"/>
            </w:tcBorders>
            <w:noWrap w:val="0"/>
            <w:vAlign w:val="center"/>
          </w:tcPr>
          <w:p>
            <w:pPr>
              <w:jc w:val="center"/>
              <w:rPr>
                <w:rFonts w:hint="eastAsia" w:ascii="宋体" w:hAnsi="宋体"/>
              </w:rPr>
            </w:pPr>
          </w:p>
        </w:tc>
        <w:tc>
          <w:tcPr>
            <w:tcW w:w="952" w:type="dxa"/>
            <w:gridSpan w:val="2"/>
            <w:noWrap w:val="0"/>
            <w:vAlign w:val="center"/>
          </w:tcPr>
          <w:p>
            <w:pPr>
              <w:jc w:val="center"/>
              <w:rPr>
                <w:rFonts w:hint="eastAsia" w:ascii="宋体" w:hAnsi="宋体"/>
              </w:rPr>
            </w:pPr>
          </w:p>
        </w:tc>
        <w:tc>
          <w:tcPr>
            <w:tcW w:w="928" w:type="dxa"/>
            <w:gridSpan w:val="2"/>
            <w:noWrap w:val="0"/>
            <w:vAlign w:val="center"/>
          </w:tcPr>
          <w:p>
            <w:pPr>
              <w:jc w:val="center"/>
              <w:rPr>
                <w:rFonts w:hint="eastAsia" w:ascii="宋体" w:hAnsi="宋体"/>
              </w:rPr>
            </w:pPr>
          </w:p>
        </w:tc>
        <w:tc>
          <w:tcPr>
            <w:tcW w:w="928" w:type="dxa"/>
            <w:gridSpan w:val="2"/>
            <w:noWrap w:val="0"/>
            <w:vAlign w:val="center"/>
          </w:tcPr>
          <w:p>
            <w:pPr>
              <w:jc w:val="center"/>
              <w:rPr>
                <w:rFonts w:hint="eastAsia" w:ascii="宋体" w:hAnsi="宋体"/>
              </w:rPr>
            </w:pPr>
          </w:p>
        </w:tc>
        <w:tc>
          <w:tcPr>
            <w:tcW w:w="1237" w:type="dxa"/>
            <w:gridSpan w:val="2"/>
            <w:noWrap w:val="0"/>
            <w:vAlign w:val="center"/>
          </w:tcPr>
          <w:p>
            <w:pPr>
              <w:jc w:val="center"/>
              <w:rPr>
                <w:rFonts w:hint="eastAsia" w:ascii="宋体" w:hAnsi="宋体"/>
              </w:rPr>
            </w:pPr>
          </w:p>
        </w:tc>
        <w:tc>
          <w:tcPr>
            <w:tcW w:w="2779" w:type="dxa"/>
            <w:gridSpan w:val="2"/>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14" w:type="dxa"/>
            <w:noWrap w:val="0"/>
            <w:vAlign w:val="center"/>
          </w:tcPr>
          <w:p>
            <w:pPr>
              <w:jc w:val="center"/>
              <w:rPr>
                <w:rFonts w:hint="eastAsia" w:ascii="宋体" w:hAnsi="宋体"/>
              </w:rPr>
            </w:pPr>
          </w:p>
        </w:tc>
        <w:tc>
          <w:tcPr>
            <w:tcW w:w="1215" w:type="dxa"/>
            <w:noWrap w:val="0"/>
            <w:vAlign w:val="center"/>
          </w:tcPr>
          <w:p>
            <w:pPr>
              <w:jc w:val="center"/>
              <w:rPr>
                <w:rFonts w:hint="eastAsia" w:ascii="宋体" w:hAnsi="宋体"/>
              </w:rPr>
            </w:pPr>
          </w:p>
        </w:tc>
        <w:tc>
          <w:tcPr>
            <w:tcW w:w="236" w:type="dxa"/>
            <w:tcBorders>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85" w:type="dxa"/>
            <w:tcBorders>
              <w:left w:val="dashed" w:color="auto" w:sz="2" w:space="0"/>
              <w:right w:val="dashed" w:color="auto" w:sz="2" w:space="0"/>
            </w:tcBorders>
            <w:noWrap w:val="0"/>
            <w:vAlign w:val="center"/>
          </w:tcPr>
          <w:p>
            <w:pPr>
              <w:jc w:val="center"/>
              <w:rPr>
                <w:rFonts w:hint="eastAsia" w:ascii="宋体" w:hAnsi="宋体"/>
              </w:rPr>
            </w:pPr>
          </w:p>
        </w:tc>
        <w:tc>
          <w:tcPr>
            <w:tcW w:w="297" w:type="dxa"/>
            <w:tcBorders>
              <w:left w:val="dashed" w:color="auto" w:sz="2" w:space="0"/>
              <w:right w:val="dashed" w:color="auto" w:sz="2" w:space="0"/>
            </w:tcBorders>
            <w:noWrap w:val="0"/>
            <w:vAlign w:val="center"/>
          </w:tcPr>
          <w:p>
            <w:pPr>
              <w:jc w:val="center"/>
              <w:rPr>
                <w:rFonts w:hint="eastAsia" w:ascii="宋体" w:hAnsi="宋体"/>
              </w:rPr>
            </w:pPr>
          </w:p>
        </w:tc>
        <w:tc>
          <w:tcPr>
            <w:tcW w:w="293" w:type="dxa"/>
            <w:gridSpan w:val="2"/>
            <w:tcBorders>
              <w:left w:val="dashed" w:color="auto" w:sz="2" w:space="0"/>
            </w:tcBorders>
            <w:noWrap w:val="0"/>
            <w:vAlign w:val="center"/>
          </w:tcPr>
          <w:p>
            <w:pPr>
              <w:jc w:val="center"/>
              <w:rPr>
                <w:rFonts w:hint="eastAsia" w:ascii="宋体" w:hAnsi="宋体"/>
              </w:rPr>
            </w:pPr>
          </w:p>
        </w:tc>
        <w:tc>
          <w:tcPr>
            <w:tcW w:w="952" w:type="dxa"/>
            <w:gridSpan w:val="2"/>
            <w:noWrap w:val="0"/>
            <w:vAlign w:val="center"/>
          </w:tcPr>
          <w:p>
            <w:pPr>
              <w:jc w:val="center"/>
              <w:rPr>
                <w:rFonts w:hint="eastAsia" w:ascii="宋体" w:hAnsi="宋体"/>
              </w:rPr>
            </w:pPr>
          </w:p>
        </w:tc>
        <w:tc>
          <w:tcPr>
            <w:tcW w:w="928" w:type="dxa"/>
            <w:gridSpan w:val="2"/>
            <w:noWrap w:val="0"/>
            <w:vAlign w:val="center"/>
          </w:tcPr>
          <w:p>
            <w:pPr>
              <w:jc w:val="center"/>
              <w:rPr>
                <w:rFonts w:hint="eastAsia" w:ascii="宋体" w:hAnsi="宋体"/>
              </w:rPr>
            </w:pPr>
          </w:p>
        </w:tc>
        <w:tc>
          <w:tcPr>
            <w:tcW w:w="928" w:type="dxa"/>
            <w:gridSpan w:val="2"/>
            <w:noWrap w:val="0"/>
            <w:vAlign w:val="center"/>
          </w:tcPr>
          <w:p>
            <w:pPr>
              <w:jc w:val="center"/>
              <w:rPr>
                <w:rFonts w:hint="eastAsia" w:ascii="宋体" w:hAnsi="宋体"/>
              </w:rPr>
            </w:pPr>
          </w:p>
        </w:tc>
        <w:tc>
          <w:tcPr>
            <w:tcW w:w="1237" w:type="dxa"/>
            <w:gridSpan w:val="2"/>
            <w:noWrap w:val="0"/>
            <w:vAlign w:val="center"/>
          </w:tcPr>
          <w:p>
            <w:pPr>
              <w:jc w:val="center"/>
              <w:rPr>
                <w:rFonts w:hint="eastAsia" w:ascii="宋体" w:hAnsi="宋体"/>
              </w:rPr>
            </w:pPr>
          </w:p>
        </w:tc>
        <w:tc>
          <w:tcPr>
            <w:tcW w:w="2779" w:type="dxa"/>
            <w:gridSpan w:val="2"/>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14" w:type="dxa"/>
            <w:noWrap w:val="0"/>
            <w:vAlign w:val="center"/>
          </w:tcPr>
          <w:p>
            <w:pPr>
              <w:jc w:val="center"/>
              <w:rPr>
                <w:rFonts w:hint="eastAsia" w:ascii="宋体" w:hAnsi="宋体"/>
              </w:rPr>
            </w:pPr>
          </w:p>
        </w:tc>
        <w:tc>
          <w:tcPr>
            <w:tcW w:w="1215" w:type="dxa"/>
            <w:noWrap w:val="0"/>
            <w:vAlign w:val="center"/>
          </w:tcPr>
          <w:p>
            <w:pPr>
              <w:jc w:val="center"/>
              <w:rPr>
                <w:rFonts w:hint="eastAsia" w:ascii="宋体" w:hAnsi="宋体"/>
              </w:rPr>
            </w:pPr>
          </w:p>
        </w:tc>
        <w:tc>
          <w:tcPr>
            <w:tcW w:w="236" w:type="dxa"/>
            <w:tcBorders>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85" w:type="dxa"/>
            <w:tcBorders>
              <w:left w:val="dashed" w:color="auto" w:sz="2" w:space="0"/>
              <w:right w:val="dashed" w:color="auto" w:sz="2" w:space="0"/>
            </w:tcBorders>
            <w:noWrap w:val="0"/>
            <w:vAlign w:val="center"/>
          </w:tcPr>
          <w:p>
            <w:pPr>
              <w:jc w:val="center"/>
              <w:rPr>
                <w:rFonts w:hint="eastAsia" w:ascii="宋体" w:hAnsi="宋体"/>
              </w:rPr>
            </w:pPr>
          </w:p>
        </w:tc>
        <w:tc>
          <w:tcPr>
            <w:tcW w:w="297" w:type="dxa"/>
            <w:tcBorders>
              <w:left w:val="dashed" w:color="auto" w:sz="2" w:space="0"/>
              <w:right w:val="dashed" w:color="auto" w:sz="2" w:space="0"/>
            </w:tcBorders>
            <w:noWrap w:val="0"/>
            <w:vAlign w:val="center"/>
          </w:tcPr>
          <w:p>
            <w:pPr>
              <w:jc w:val="center"/>
              <w:rPr>
                <w:rFonts w:hint="eastAsia" w:ascii="宋体" w:hAnsi="宋体"/>
              </w:rPr>
            </w:pPr>
          </w:p>
        </w:tc>
        <w:tc>
          <w:tcPr>
            <w:tcW w:w="293" w:type="dxa"/>
            <w:gridSpan w:val="2"/>
            <w:tcBorders>
              <w:left w:val="dashed" w:color="auto" w:sz="2" w:space="0"/>
            </w:tcBorders>
            <w:noWrap w:val="0"/>
            <w:vAlign w:val="center"/>
          </w:tcPr>
          <w:p>
            <w:pPr>
              <w:jc w:val="center"/>
              <w:rPr>
                <w:rFonts w:hint="eastAsia" w:ascii="宋体" w:hAnsi="宋体"/>
              </w:rPr>
            </w:pPr>
          </w:p>
        </w:tc>
        <w:tc>
          <w:tcPr>
            <w:tcW w:w="952" w:type="dxa"/>
            <w:gridSpan w:val="2"/>
            <w:noWrap w:val="0"/>
            <w:vAlign w:val="center"/>
          </w:tcPr>
          <w:p>
            <w:pPr>
              <w:jc w:val="center"/>
              <w:rPr>
                <w:rFonts w:hint="eastAsia" w:ascii="宋体" w:hAnsi="宋体"/>
              </w:rPr>
            </w:pPr>
          </w:p>
        </w:tc>
        <w:tc>
          <w:tcPr>
            <w:tcW w:w="928" w:type="dxa"/>
            <w:gridSpan w:val="2"/>
            <w:noWrap w:val="0"/>
            <w:vAlign w:val="center"/>
          </w:tcPr>
          <w:p>
            <w:pPr>
              <w:jc w:val="center"/>
              <w:rPr>
                <w:rFonts w:hint="eastAsia" w:ascii="宋体" w:hAnsi="宋体"/>
              </w:rPr>
            </w:pPr>
          </w:p>
        </w:tc>
        <w:tc>
          <w:tcPr>
            <w:tcW w:w="928" w:type="dxa"/>
            <w:gridSpan w:val="2"/>
            <w:noWrap w:val="0"/>
            <w:vAlign w:val="center"/>
          </w:tcPr>
          <w:p>
            <w:pPr>
              <w:jc w:val="center"/>
              <w:rPr>
                <w:rFonts w:hint="eastAsia" w:ascii="宋体" w:hAnsi="宋体"/>
              </w:rPr>
            </w:pPr>
          </w:p>
        </w:tc>
        <w:tc>
          <w:tcPr>
            <w:tcW w:w="1237" w:type="dxa"/>
            <w:gridSpan w:val="2"/>
            <w:noWrap w:val="0"/>
            <w:vAlign w:val="center"/>
          </w:tcPr>
          <w:p>
            <w:pPr>
              <w:jc w:val="center"/>
              <w:rPr>
                <w:rFonts w:hint="eastAsia" w:ascii="宋体" w:hAnsi="宋体"/>
              </w:rPr>
            </w:pPr>
          </w:p>
        </w:tc>
        <w:tc>
          <w:tcPr>
            <w:tcW w:w="2779" w:type="dxa"/>
            <w:gridSpan w:val="2"/>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14" w:type="dxa"/>
            <w:noWrap w:val="0"/>
            <w:vAlign w:val="center"/>
          </w:tcPr>
          <w:p>
            <w:pPr>
              <w:jc w:val="center"/>
              <w:rPr>
                <w:rFonts w:hint="eastAsia" w:ascii="宋体" w:hAnsi="宋体"/>
              </w:rPr>
            </w:pPr>
          </w:p>
        </w:tc>
        <w:tc>
          <w:tcPr>
            <w:tcW w:w="1215" w:type="dxa"/>
            <w:noWrap w:val="0"/>
            <w:vAlign w:val="center"/>
          </w:tcPr>
          <w:p>
            <w:pPr>
              <w:jc w:val="center"/>
              <w:rPr>
                <w:rFonts w:hint="eastAsia" w:ascii="宋体" w:hAnsi="宋体"/>
              </w:rPr>
            </w:pPr>
          </w:p>
        </w:tc>
        <w:tc>
          <w:tcPr>
            <w:tcW w:w="236" w:type="dxa"/>
            <w:tcBorders>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91" w:type="dxa"/>
            <w:tcBorders>
              <w:left w:val="dashed" w:color="auto" w:sz="2" w:space="0"/>
              <w:right w:val="dashed" w:color="auto" w:sz="2" w:space="0"/>
            </w:tcBorders>
            <w:noWrap w:val="0"/>
            <w:vAlign w:val="center"/>
          </w:tcPr>
          <w:p>
            <w:pPr>
              <w:jc w:val="center"/>
              <w:rPr>
                <w:rFonts w:hint="eastAsia" w:ascii="宋体" w:hAnsi="宋体"/>
              </w:rPr>
            </w:pPr>
          </w:p>
        </w:tc>
        <w:tc>
          <w:tcPr>
            <w:tcW w:w="285" w:type="dxa"/>
            <w:tcBorders>
              <w:left w:val="dashed" w:color="auto" w:sz="2" w:space="0"/>
              <w:right w:val="dashed" w:color="auto" w:sz="2" w:space="0"/>
            </w:tcBorders>
            <w:noWrap w:val="0"/>
            <w:vAlign w:val="center"/>
          </w:tcPr>
          <w:p>
            <w:pPr>
              <w:jc w:val="center"/>
              <w:rPr>
                <w:rFonts w:hint="eastAsia" w:ascii="宋体" w:hAnsi="宋体"/>
              </w:rPr>
            </w:pPr>
          </w:p>
        </w:tc>
        <w:tc>
          <w:tcPr>
            <w:tcW w:w="297" w:type="dxa"/>
            <w:tcBorders>
              <w:left w:val="dashed" w:color="auto" w:sz="2" w:space="0"/>
              <w:right w:val="dashed" w:color="auto" w:sz="2" w:space="0"/>
            </w:tcBorders>
            <w:noWrap w:val="0"/>
            <w:vAlign w:val="center"/>
          </w:tcPr>
          <w:p>
            <w:pPr>
              <w:jc w:val="center"/>
              <w:rPr>
                <w:rFonts w:hint="eastAsia" w:ascii="宋体" w:hAnsi="宋体"/>
              </w:rPr>
            </w:pPr>
          </w:p>
        </w:tc>
        <w:tc>
          <w:tcPr>
            <w:tcW w:w="293" w:type="dxa"/>
            <w:gridSpan w:val="2"/>
            <w:tcBorders>
              <w:left w:val="dashed" w:color="auto" w:sz="2" w:space="0"/>
            </w:tcBorders>
            <w:noWrap w:val="0"/>
            <w:vAlign w:val="center"/>
          </w:tcPr>
          <w:p>
            <w:pPr>
              <w:jc w:val="center"/>
              <w:rPr>
                <w:rFonts w:hint="eastAsia" w:ascii="宋体" w:hAnsi="宋体"/>
              </w:rPr>
            </w:pPr>
          </w:p>
        </w:tc>
        <w:tc>
          <w:tcPr>
            <w:tcW w:w="952" w:type="dxa"/>
            <w:gridSpan w:val="2"/>
            <w:noWrap w:val="0"/>
            <w:vAlign w:val="center"/>
          </w:tcPr>
          <w:p>
            <w:pPr>
              <w:jc w:val="center"/>
              <w:rPr>
                <w:rFonts w:hint="eastAsia" w:ascii="宋体" w:hAnsi="宋体"/>
              </w:rPr>
            </w:pPr>
          </w:p>
        </w:tc>
        <w:tc>
          <w:tcPr>
            <w:tcW w:w="928" w:type="dxa"/>
            <w:gridSpan w:val="2"/>
            <w:noWrap w:val="0"/>
            <w:vAlign w:val="center"/>
          </w:tcPr>
          <w:p>
            <w:pPr>
              <w:jc w:val="center"/>
              <w:rPr>
                <w:rFonts w:hint="eastAsia" w:ascii="宋体" w:hAnsi="宋体"/>
              </w:rPr>
            </w:pPr>
          </w:p>
        </w:tc>
        <w:tc>
          <w:tcPr>
            <w:tcW w:w="928" w:type="dxa"/>
            <w:gridSpan w:val="2"/>
            <w:noWrap w:val="0"/>
            <w:vAlign w:val="center"/>
          </w:tcPr>
          <w:p>
            <w:pPr>
              <w:jc w:val="center"/>
              <w:rPr>
                <w:rFonts w:hint="eastAsia" w:ascii="宋体" w:hAnsi="宋体"/>
              </w:rPr>
            </w:pPr>
          </w:p>
        </w:tc>
        <w:tc>
          <w:tcPr>
            <w:tcW w:w="1237" w:type="dxa"/>
            <w:gridSpan w:val="2"/>
            <w:noWrap w:val="0"/>
            <w:vAlign w:val="center"/>
          </w:tcPr>
          <w:p>
            <w:pPr>
              <w:jc w:val="center"/>
              <w:rPr>
                <w:rFonts w:hint="eastAsia" w:ascii="宋体" w:hAnsi="宋体"/>
              </w:rPr>
            </w:pPr>
          </w:p>
        </w:tc>
        <w:tc>
          <w:tcPr>
            <w:tcW w:w="2779" w:type="dxa"/>
            <w:gridSpan w:val="2"/>
            <w:noWrap w:val="0"/>
            <w:vAlign w:val="center"/>
          </w:tcPr>
          <w:p>
            <w:pPr>
              <w:jc w:val="center"/>
              <w:rPr>
                <w:rFonts w:hint="eastAsia" w:ascii="宋体" w:hAnsi="宋体"/>
              </w:rPr>
            </w:pPr>
          </w:p>
        </w:tc>
      </w:tr>
    </w:tbl>
    <w:p>
      <w:pPr>
        <w:spacing w:line="360" w:lineRule="auto"/>
        <w:ind w:left="-37" w:leftChars="-46" w:right="-198" w:rightChars="-62" w:hanging="110" w:hangingChars="46"/>
        <w:rPr>
          <w:rFonts w:hint="eastAsia" w:ascii="宋体" w:hAnsi="宋体"/>
          <w:sz w:val="24"/>
          <w:szCs w:val="24"/>
        </w:rPr>
      </w:pPr>
      <w:r>
        <w:rPr>
          <w:rFonts w:hint="eastAsia" w:ascii="宋体" w:hAnsi="宋体"/>
          <w:sz w:val="24"/>
          <w:szCs w:val="24"/>
        </w:rPr>
        <w:t>（“级别”填“考四科”或“考二科”。）</w:t>
      </w:r>
    </w:p>
    <w:p>
      <w:pPr>
        <w:spacing w:line="360" w:lineRule="auto"/>
        <w:ind w:leftChars="-46" w:right="-198" w:rightChars="-62" w:hanging="147" w:hangingChars="46"/>
      </w:pPr>
      <w:r>
        <w:rPr>
          <w:rFonts w:hint="eastAsia" w:ascii="宋体" w:hAnsi="宋体"/>
        </w:rPr>
        <w:t xml:space="preserve">   资格审查意见：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Times New Roman" w:hAnsi="Times New Roman" w:eastAsia="仿宋_GB2312"/>
          <w:snapToGrid w:val="0"/>
          <w:sz w:val="32"/>
        </w:rPr>
      </w:pPr>
    </w:p>
    <w:sectPr>
      <w:footerReference r:id="rId4" w:type="default"/>
      <w:footerReference r:id="rId5" w:type="even"/>
      <w:pgSz w:w="16840" w:h="11907" w:orient="landscape"/>
      <w:pgMar w:top="1134" w:right="1134" w:bottom="1134" w:left="1134" w:header="851" w:footer="992" w:gutter="0"/>
      <w:cols w:space="425" w:num="1"/>
      <w:titlePg/>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HorizontalSpacing w:val="158"/>
  <w:drawingGridVerticalSpacing w:val="290"/>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E246A5"/>
    <w:rsid w:val="40E246A5"/>
    <w:rsid w:val="524453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snapToGrid w:val="0"/>
      <w:kern w:val="2"/>
      <w:sz w:val="32"/>
      <w:szCs w:val="24"/>
      <w:lang w:val="en-US" w:eastAsia="zh-CN" w:bidi="ar-SA"/>
    </w:rPr>
  </w:style>
  <w:style w:type="character" w:default="1" w:styleId="4">
    <w:name w:val="Default Paragraph Font"/>
    <w:semiHidden/>
    <w:uiPriority w:val="0"/>
  </w:style>
  <w:style w:type="table" w:default="1" w:styleId="8">
    <w:name w:val="Normal Table"/>
    <w:semiHidden/>
    <w:qFormat/>
    <w:uiPriority w:val="0"/>
    <w:tblPr>
      <w:tblStyle w:val="8"/>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Strong"/>
    <w:basedOn w:val="4"/>
    <w:qFormat/>
    <w:uiPriority w:val="0"/>
    <w:rPr>
      <w:b/>
    </w:rPr>
  </w:style>
  <w:style w:type="character" w:styleId="6">
    <w:name w:val="page number"/>
    <w:basedOn w:val="4"/>
    <w:qFormat/>
    <w:uiPriority w:val="0"/>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6631;&#20934;&#20844;&#2599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标准公文.wpt</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2019-02-26T01:45:00Z</dcterms:created>
  <dc:creator>米花生</dc:creator>
  <cp:lastModifiedBy>米花生</cp:lastModifiedBy>
  <dcterms:modified xsi:type="dcterms:W3CDTF">2019-02-26T01:49:13Z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